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64A" w:rsidRDefault="0032164A" w:rsidP="004D6F96">
      <w:pPr>
        <w:shd w:val="clear" w:color="auto" w:fill="FFFFFF"/>
        <w:spacing w:after="0" w:line="240" w:lineRule="auto"/>
        <w:jc w:val="center"/>
        <w:textAlignment w:val="baseline"/>
        <w:rPr>
          <w:rFonts w:asciiTheme="minorBidi" w:eastAsia="Times New Roman" w:hAnsiTheme="minorBidi" w:cs="Times New Roman"/>
          <w:b/>
          <w:bCs/>
          <w:color w:val="333333"/>
          <w:sz w:val="24"/>
          <w:szCs w:val="24"/>
          <w:bdr w:val="none" w:sz="0" w:space="0" w:color="auto" w:frame="1"/>
          <w:lang w:val="en-US" w:eastAsia="id-ID"/>
        </w:rPr>
      </w:pPr>
      <w:bookmarkStart w:id="0" w:name="_GoBack"/>
      <w:bookmarkEnd w:id="0"/>
      <w:r>
        <w:rPr>
          <w:rFonts w:asciiTheme="minorBidi" w:eastAsia="Times New Roman" w:hAnsiTheme="minorBidi" w:cs="Times New Roman"/>
          <w:b/>
          <w:bCs/>
          <w:color w:val="333333"/>
          <w:sz w:val="24"/>
          <w:szCs w:val="24"/>
          <w:bdr w:val="none" w:sz="0" w:space="0" w:color="auto" w:frame="1"/>
          <w:lang w:val="en-US" w:eastAsia="id-ID"/>
        </w:rPr>
        <w:t>BANK SENTRAL</w:t>
      </w:r>
    </w:p>
    <w:p w:rsidR="0032164A" w:rsidRDefault="0032164A" w:rsidP="004D6F96">
      <w:pPr>
        <w:shd w:val="clear" w:color="auto" w:fill="FFFFFF"/>
        <w:spacing w:after="0" w:line="240" w:lineRule="auto"/>
        <w:jc w:val="center"/>
        <w:textAlignment w:val="baseline"/>
        <w:rPr>
          <w:rFonts w:asciiTheme="minorBidi" w:eastAsia="Times New Roman" w:hAnsiTheme="minorBidi" w:cs="Times New Roman"/>
          <w:b/>
          <w:bCs/>
          <w:color w:val="333333"/>
          <w:sz w:val="24"/>
          <w:szCs w:val="24"/>
          <w:bdr w:val="none" w:sz="0" w:space="0" w:color="auto" w:frame="1"/>
          <w:lang w:val="en-US" w:eastAsia="id-ID"/>
        </w:rPr>
      </w:pPr>
    </w:p>
    <w:p w:rsidR="0032164A" w:rsidRDefault="0032164A" w:rsidP="004D6F96">
      <w:pPr>
        <w:shd w:val="clear" w:color="auto" w:fill="FFFFFF"/>
        <w:spacing w:after="0" w:line="240" w:lineRule="auto"/>
        <w:jc w:val="center"/>
        <w:textAlignment w:val="baseline"/>
        <w:rPr>
          <w:rFonts w:asciiTheme="minorBidi" w:eastAsia="Times New Roman" w:hAnsiTheme="minorBidi" w:cs="Times New Roman"/>
          <w:b/>
          <w:bCs/>
          <w:color w:val="333333"/>
          <w:sz w:val="24"/>
          <w:szCs w:val="24"/>
          <w:bdr w:val="none" w:sz="0" w:space="0" w:color="auto" w:frame="1"/>
          <w:lang w:val="en-US" w:eastAsia="id-ID"/>
        </w:rPr>
      </w:pPr>
    </w:p>
    <w:p w:rsidR="00B77E6C" w:rsidRPr="004D6F96" w:rsidRDefault="00B51C83" w:rsidP="0032164A">
      <w:pPr>
        <w:shd w:val="clear" w:color="auto" w:fill="FFFFFF"/>
        <w:spacing w:after="0" w:line="240" w:lineRule="auto"/>
        <w:jc w:val="both"/>
        <w:textAlignment w:val="baseline"/>
        <w:rPr>
          <w:rFonts w:asciiTheme="minorBidi" w:eastAsia="Times New Roman" w:hAnsiTheme="minorBidi" w:cs="Times New Roman"/>
          <w:b/>
          <w:bCs/>
          <w:color w:val="333333"/>
          <w:sz w:val="24"/>
          <w:szCs w:val="24"/>
          <w:bdr w:val="none" w:sz="0" w:space="0" w:color="auto" w:frame="1"/>
          <w:lang w:eastAsia="id-ID"/>
        </w:rPr>
      </w:pPr>
      <w:r w:rsidRPr="004D6F96">
        <w:rPr>
          <w:rFonts w:asciiTheme="minorBidi" w:eastAsia="Times New Roman" w:hAnsiTheme="minorBidi" w:cs="Times New Roman"/>
          <w:b/>
          <w:bCs/>
          <w:color w:val="333333"/>
          <w:sz w:val="24"/>
          <w:szCs w:val="24"/>
          <w:bdr w:val="none" w:sz="0" w:space="0" w:color="auto" w:frame="1"/>
          <w:lang w:eastAsia="id-ID"/>
        </w:rPr>
        <w:t>S</w:t>
      </w:r>
      <w:r w:rsidR="00B77E6C" w:rsidRPr="004D6F96">
        <w:rPr>
          <w:rFonts w:asciiTheme="minorBidi" w:eastAsia="Times New Roman" w:hAnsiTheme="minorBidi" w:cs="Times New Roman"/>
          <w:b/>
          <w:bCs/>
          <w:color w:val="333333"/>
          <w:sz w:val="24"/>
          <w:szCs w:val="24"/>
          <w:bdr w:val="none" w:sz="0" w:space="0" w:color="auto" w:frame="1"/>
          <w:lang w:eastAsia="id-ID"/>
        </w:rPr>
        <w:t>TATUS DAN KEDUDUKAN BANK INDONESIA</w:t>
      </w:r>
    </w:p>
    <w:p w:rsidR="008268EB" w:rsidRDefault="008268EB" w:rsidP="004D6F96">
      <w:pPr>
        <w:shd w:val="clear" w:color="auto" w:fill="FFFFFF"/>
        <w:spacing w:after="0" w:line="240" w:lineRule="auto"/>
        <w:jc w:val="center"/>
        <w:textAlignment w:val="baseline"/>
        <w:rPr>
          <w:rFonts w:asciiTheme="minorBidi" w:eastAsia="Times New Roman" w:hAnsiTheme="minorBidi" w:cs="Times New Roman"/>
          <w:color w:val="333333"/>
          <w:sz w:val="24"/>
          <w:szCs w:val="24"/>
          <w:lang w:eastAsia="id-ID"/>
        </w:rPr>
      </w:pPr>
    </w:p>
    <w:p w:rsidR="00B77E6C" w:rsidRPr="004D6F96" w:rsidRDefault="008268EB" w:rsidP="004D6F96">
      <w:pPr>
        <w:spacing w:after="0" w:line="240" w:lineRule="auto"/>
        <w:textAlignment w:val="baseline"/>
        <w:rPr>
          <w:rFonts w:asciiTheme="minorBidi" w:eastAsia="Times New Roman" w:hAnsiTheme="minorBidi" w:cs="Times New Roman"/>
          <w:color w:val="333333"/>
          <w:sz w:val="24"/>
          <w:szCs w:val="24"/>
          <w:bdr w:val="none" w:sz="0" w:space="0" w:color="auto" w:frame="1"/>
          <w:shd w:val="clear" w:color="auto" w:fill="FFFFFF"/>
          <w:lang w:eastAsia="id-ID"/>
        </w:rPr>
      </w:pPr>
      <w:r w:rsidRPr="004D6F96">
        <w:rPr>
          <w:rFonts w:asciiTheme="minorBidi" w:eastAsia="Times New Roman" w:hAnsiTheme="minorBidi" w:cs="Times New Roman"/>
          <w:b/>
          <w:bCs/>
          <w:color w:val="000000" w:themeColor="text1"/>
          <w:sz w:val="24"/>
          <w:szCs w:val="24"/>
          <w:bdr w:val="none" w:sz="0" w:space="0" w:color="auto" w:frame="1"/>
          <w:shd w:val="clear" w:color="auto" w:fill="FFFFFF"/>
          <w:lang w:eastAsia="id-ID"/>
        </w:rPr>
        <w:t xml:space="preserve">Sebagai </w:t>
      </w:r>
      <w:r w:rsidR="00B77E6C" w:rsidRPr="004D6F96">
        <w:rPr>
          <w:rFonts w:asciiTheme="minorBidi" w:eastAsia="Times New Roman" w:hAnsiTheme="minorBidi" w:cs="Times New Roman"/>
          <w:b/>
          <w:bCs/>
          <w:color w:val="000000" w:themeColor="text1"/>
          <w:sz w:val="24"/>
          <w:szCs w:val="24"/>
          <w:bdr w:val="none" w:sz="0" w:space="0" w:color="auto" w:frame="1"/>
          <w:shd w:val="clear" w:color="auto" w:fill="FFFFFF"/>
          <w:lang w:eastAsia="id-ID"/>
        </w:rPr>
        <w:t>Lembaga Negara yang Independen</w:t>
      </w:r>
    </w:p>
    <w:tbl>
      <w:tblPr>
        <w:tblW w:w="5000" w:type="pct"/>
        <w:tblCellMar>
          <w:left w:w="0" w:type="dxa"/>
          <w:right w:w="0" w:type="dxa"/>
        </w:tblCellMar>
        <w:tblLook w:val="04A0" w:firstRow="1" w:lastRow="0" w:firstColumn="1" w:lastColumn="0" w:noHBand="0" w:noVBand="1"/>
      </w:tblPr>
      <w:tblGrid>
        <w:gridCol w:w="6"/>
        <w:gridCol w:w="9020"/>
      </w:tblGrid>
      <w:tr w:rsidR="00B77E6C" w:rsidRPr="005723FC" w:rsidTr="00B77E6C">
        <w:tc>
          <w:tcPr>
            <w:tcW w:w="0" w:type="auto"/>
            <w:tcBorders>
              <w:top w:val="nil"/>
              <w:left w:val="nil"/>
              <w:bottom w:val="nil"/>
              <w:right w:val="nil"/>
            </w:tcBorders>
            <w:hideMark/>
          </w:tcPr>
          <w:p w:rsidR="00B77E6C" w:rsidRPr="005723FC" w:rsidRDefault="00B77E6C" w:rsidP="004D6F96">
            <w:pPr>
              <w:spacing w:after="0" w:line="240" w:lineRule="auto"/>
              <w:ind w:firstLine="567"/>
              <w:rPr>
                <w:rFonts w:asciiTheme="minorBidi" w:eastAsia="Times New Roman" w:hAnsiTheme="minorBidi" w:cs="Times New Roman"/>
                <w:sz w:val="24"/>
                <w:szCs w:val="24"/>
                <w:lang w:eastAsia="id-ID"/>
              </w:rPr>
            </w:pPr>
          </w:p>
        </w:tc>
        <w:tc>
          <w:tcPr>
            <w:tcW w:w="0" w:type="auto"/>
            <w:tcBorders>
              <w:top w:val="nil"/>
              <w:left w:val="nil"/>
              <w:bottom w:val="nil"/>
              <w:right w:val="nil"/>
            </w:tcBorders>
            <w:hideMark/>
          </w:tcPr>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Babak baru dalam sejarah Bank Indonesia sebagai Bank Sentral yang independen dalam melaksanakan tugas dan wewenangnya dimulai ketika sebuah undang-undang baru, yait</w:t>
            </w:r>
            <w:r w:rsidRPr="005723FC">
              <w:rPr>
                <w:rFonts w:ascii="Times New Roman" w:eastAsia="Times New Roman" w:hAnsi="Times New Roman" w:cs="Times New Roman"/>
                <w:sz w:val="24"/>
                <w:szCs w:val="24"/>
                <w:lang w:eastAsia="id-ID"/>
              </w:rPr>
              <w:t>​</w:t>
            </w:r>
            <w:r w:rsidRPr="005723FC">
              <w:rPr>
                <w:rFonts w:asciiTheme="minorBidi" w:eastAsia="Times New Roman" w:hAnsiTheme="minorBidi" w:cs="Times New Roman"/>
                <w:sz w:val="24"/>
                <w:szCs w:val="24"/>
                <w:lang w:eastAsia="id-ID"/>
              </w:rPr>
              <w:t>u UU No. 23/1999 tentang Bank Indonesia, dinyatakan berlaku pada tanggal 17 Mei 1999 dan sebagaimana telah diubah dengan Undang-Undang Republik Indonesia No. 6/ 2009. Undang-undang ini memberikan status dan kedudukan sebagai suatu lembaga negara yang independen dalam melaksanakan tugas dan wewenangnya, bebas dari campur tangan Pemerint</w:t>
            </w:r>
            <w:r w:rsidRPr="005723FC">
              <w:rPr>
                <w:rFonts w:ascii="Times New Roman" w:eastAsia="Times New Roman" w:hAnsi="Times New Roman" w:cs="Times New Roman"/>
                <w:sz w:val="24"/>
                <w:szCs w:val="24"/>
                <w:lang w:eastAsia="id-ID"/>
              </w:rPr>
              <w:t>​​</w:t>
            </w:r>
            <w:r w:rsidRPr="005723FC">
              <w:rPr>
                <w:rFonts w:asciiTheme="minorBidi" w:eastAsia="Times New Roman" w:hAnsiTheme="minorBidi" w:cs="Times New Roman"/>
                <w:sz w:val="24"/>
                <w:szCs w:val="24"/>
                <w:lang w:eastAsia="id-ID"/>
              </w:rPr>
              <w:t>ah dan/atau pihak lain, kecuali untuk hal-hal yang secara tegas diatur dalam undang-undang ini.</w:t>
            </w:r>
          </w:p>
        </w:tc>
      </w:tr>
    </w:tbl>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bdr w:val="none" w:sz="0" w:space="0" w:color="auto" w:frame="1"/>
          <w:shd w:val="clear" w:color="auto" w:fill="FFFFFF"/>
          <w:lang w:eastAsia="id-ID"/>
        </w:rPr>
      </w:pPr>
      <w:r w:rsidRPr="005723FC">
        <w:rPr>
          <w:rFonts w:asciiTheme="minorBidi" w:eastAsia="Times New Roman" w:hAnsiTheme="minorBidi" w:cs="Times New Roman"/>
          <w:sz w:val="24"/>
          <w:szCs w:val="24"/>
          <w:bdr w:val="none" w:sz="0" w:space="0" w:color="auto" w:frame="1"/>
          <w:shd w:val="clear" w:color="auto" w:fill="FFFFFF"/>
          <w:lang w:eastAsia="id-ID"/>
        </w:rPr>
        <w:br/>
        <w:t>Bank Indonesia mempunyai otonomi penuh dalam merumuskan dan melaksanakan setiap tugas dan wewenangnya sebagaimana ditentukan dalam undang-undang tersebut. Pihak luar tidak dibenarkan mencampuri pelaksanaan tugas Bank Indonesia, dan Bank Indonesia juga berkewajiban untuk menolak atau mengabaikan intervensi dalam bentuk apapun dari pihak manapun juga.</w:t>
      </w:r>
    </w:p>
    <w:p w:rsidR="008268EB" w:rsidRPr="005723FC" w:rsidRDefault="008268EB" w:rsidP="004D6F96">
      <w:pPr>
        <w:spacing w:after="0" w:line="240" w:lineRule="auto"/>
        <w:ind w:firstLine="567"/>
        <w:jc w:val="both"/>
        <w:textAlignment w:val="baseline"/>
        <w:rPr>
          <w:rFonts w:asciiTheme="minorBidi" w:eastAsia="Times New Roman" w:hAnsiTheme="minorBidi" w:cs="Times New Roman"/>
          <w:sz w:val="24"/>
          <w:szCs w:val="24"/>
          <w:bdr w:val="none" w:sz="0" w:space="0" w:color="auto" w:frame="1"/>
          <w:shd w:val="clear" w:color="auto" w:fill="FFFFFF"/>
          <w:lang w:eastAsia="id-ID"/>
        </w:rPr>
      </w:pPr>
    </w:p>
    <w:p w:rsidR="008268EB"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bdr w:val="none" w:sz="0" w:space="0" w:color="auto" w:frame="1"/>
          <w:shd w:val="clear" w:color="auto" w:fill="FFFFFF"/>
          <w:lang w:eastAsia="id-ID"/>
        </w:rPr>
      </w:pPr>
      <w:r w:rsidRPr="005723FC">
        <w:rPr>
          <w:rFonts w:asciiTheme="minorBidi" w:eastAsia="Times New Roman" w:hAnsiTheme="minorBidi" w:cs="Times New Roman"/>
          <w:sz w:val="24"/>
          <w:szCs w:val="24"/>
          <w:bdr w:val="none" w:sz="0" w:space="0" w:color="auto" w:frame="1"/>
          <w:shd w:val="clear" w:color="auto" w:fill="FFFFFF"/>
          <w:lang w:eastAsia="id-ID"/>
        </w:rPr>
        <w:t>Status dan kedudukan yang khusus tersebut diperlukan agar Bank Indonesia dapat melaksanakan peran dan fungsinya sebagai otoritas moneter se</w:t>
      </w:r>
      <w:r w:rsidR="008268EB" w:rsidRPr="005723FC">
        <w:rPr>
          <w:rFonts w:asciiTheme="minorBidi" w:eastAsia="Times New Roman" w:hAnsiTheme="minorBidi" w:cs="Times New Roman"/>
          <w:sz w:val="24"/>
          <w:szCs w:val="24"/>
          <w:bdr w:val="none" w:sz="0" w:space="0" w:color="auto" w:frame="1"/>
          <w:shd w:val="clear" w:color="auto" w:fill="FFFFFF"/>
          <w:lang w:eastAsia="id-ID"/>
        </w:rPr>
        <w:t>cara lebih efektif dan efisien.</w:t>
      </w:r>
    </w:p>
    <w:p w:rsidR="008268EB" w:rsidRPr="005723FC" w:rsidRDefault="008268EB" w:rsidP="004D6F96">
      <w:pPr>
        <w:spacing w:after="0" w:line="240" w:lineRule="auto"/>
        <w:jc w:val="both"/>
        <w:textAlignment w:val="baseline"/>
        <w:rPr>
          <w:rFonts w:asciiTheme="minorBidi" w:eastAsia="Times New Roman" w:hAnsiTheme="minorBidi" w:cs="Times New Roman"/>
          <w:b/>
          <w:bCs/>
          <w:sz w:val="24"/>
          <w:szCs w:val="24"/>
          <w:bdr w:val="none" w:sz="0" w:space="0" w:color="auto" w:frame="1"/>
          <w:shd w:val="clear" w:color="auto" w:fill="FFFFFF"/>
          <w:lang w:eastAsia="id-ID"/>
        </w:rPr>
      </w:pPr>
    </w:p>
    <w:p w:rsidR="00B77E6C" w:rsidRPr="005723FC" w:rsidRDefault="00B77E6C" w:rsidP="004D6F96">
      <w:pPr>
        <w:spacing w:after="0" w:line="240" w:lineRule="auto"/>
        <w:jc w:val="both"/>
        <w:textAlignment w:val="baseline"/>
        <w:rPr>
          <w:rFonts w:asciiTheme="minorBidi" w:eastAsia="Times New Roman" w:hAnsiTheme="minorBidi" w:cs="Times New Roman"/>
          <w:sz w:val="24"/>
          <w:szCs w:val="24"/>
          <w:bdr w:val="none" w:sz="0" w:space="0" w:color="auto" w:frame="1"/>
          <w:shd w:val="clear" w:color="auto" w:fill="FFFFFF"/>
          <w:lang w:eastAsia="id-ID"/>
        </w:rPr>
      </w:pPr>
      <w:r w:rsidRPr="005723FC">
        <w:rPr>
          <w:rFonts w:asciiTheme="minorBidi" w:eastAsia="Times New Roman" w:hAnsiTheme="minorBidi" w:cs="Times New Roman"/>
          <w:b/>
          <w:bCs/>
          <w:sz w:val="24"/>
          <w:szCs w:val="24"/>
          <w:bdr w:val="none" w:sz="0" w:space="0" w:color="auto" w:frame="1"/>
          <w:shd w:val="clear" w:color="auto" w:fill="FFFFFF"/>
          <w:lang w:eastAsia="id-ID"/>
        </w:rPr>
        <w:t>Sebagai Badan Hukum</w:t>
      </w:r>
    </w:p>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bdr w:val="none" w:sz="0" w:space="0" w:color="auto" w:frame="1"/>
          <w:shd w:val="clear" w:color="auto" w:fill="FFFFFF"/>
          <w:lang w:eastAsia="id-ID"/>
        </w:rPr>
      </w:pPr>
      <w:r w:rsidRPr="005723FC">
        <w:rPr>
          <w:rFonts w:asciiTheme="minorBidi" w:eastAsia="Times New Roman" w:hAnsiTheme="minorBidi" w:cs="Times New Roman"/>
          <w:sz w:val="24"/>
          <w:szCs w:val="24"/>
          <w:bdr w:val="none" w:sz="0" w:space="0" w:color="auto" w:frame="1"/>
          <w:shd w:val="clear" w:color="auto" w:fill="FFFFFF"/>
          <w:lang w:eastAsia="id-ID"/>
        </w:rPr>
        <w:t>Status Bank Indonesia baik sebagai badan hukum publik maupun badan hukum perdata ditetapkan dengan undang-undang. Sebagai badan hukum publik Bank Indonesia berwenang menetapkan peraturan-peraturan hukum yang merupakan pelaksanaan dari undang-undang yang mengikat seluruh masyarakat luas sesuai dengan tugas dan wewenangnya. Sebagai badan hukum perdata, Bank Indonesia dapat bertindak untuk dan atas nama sendiri di dalam maupun di luar pengadilan.</w:t>
      </w:r>
    </w:p>
    <w:p w:rsidR="008268EB" w:rsidRPr="005723FC" w:rsidRDefault="008268EB" w:rsidP="004D6F96">
      <w:pPr>
        <w:shd w:val="clear" w:color="auto" w:fill="FFFFFF"/>
        <w:spacing w:after="0" w:line="240" w:lineRule="auto"/>
        <w:jc w:val="center"/>
        <w:textAlignment w:val="baseline"/>
        <w:rPr>
          <w:rFonts w:asciiTheme="minorBidi" w:eastAsia="Times New Roman" w:hAnsiTheme="minorBidi" w:cs="Times New Roman"/>
          <w:b/>
          <w:bCs/>
          <w:sz w:val="24"/>
          <w:szCs w:val="24"/>
          <w:bdr w:val="none" w:sz="0" w:space="0" w:color="auto" w:frame="1"/>
          <w:lang w:eastAsia="id-ID"/>
        </w:rPr>
      </w:pPr>
    </w:p>
    <w:p w:rsidR="00B77E6C" w:rsidRPr="005723FC" w:rsidRDefault="00B77E6C" w:rsidP="004D6F9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b/>
          <w:bCs/>
          <w:sz w:val="24"/>
          <w:szCs w:val="24"/>
          <w:bdr w:val="none" w:sz="0" w:space="0" w:color="auto" w:frame="1"/>
          <w:lang w:eastAsia="id-ID"/>
        </w:rPr>
        <w:t>TUJUAN DAN TUGAS BANK INDONESIA</w:t>
      </w:r>
    </w:p>
    <w:p w:rsidR="00B77E6C" w:rsidRPr="005723FC" w:rsidRDefault="00B77E6C" w:rsidP="004D6F9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 </w:t>
      </w:r>
    </w:p>
    <w:p w:rsidR="00B77E6C" w:rsidRPr="005723FC" w:rsidRDefault="00B77E6C" w:rsidP="004D6F96">
      <w:pPr>
        <w:shd w:val="clear" w:color="auto" w:fill="FFFFFF"/>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b/>
          <w:bCs/>
          <w:sz w:val="24"/>
          <w:szCs w:val="24"/>
          <w:bdr w:val="none" w:sz="0" w:space="0" w:color="auto" w:frame="1"/>
          <w:lang w:eastAsia="id-ID"/>
        </w:rPr>
        <w:t>Tujuan Tunggal</w:t>
      </w:r>
    </w:p>
    <w:p w:rsidR="00B77E6C" w:rsidRPr="005723FC" w:rsidRDefault="00B77E6C" w:rsidP="004D6F9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Dalam kapasitasnya sebagai bank sentral, Bank Indonesia mempunyai satu tujuan tunggal, yaitu mencapai dan memelihara kestabilan nilai rupiah. Kestabilan nilai rupiah ini mengandung dua aspek, yaitu kestabilan nilai mata uang terhadap barang dan jasa, serta kestabilan terhadap mata uang negara lain.</w:t>
      </w:r>
    </w:p>
    <w:p w:rsidR="00B77E6C" w:rsidRPr="005723FC" w:rsidRDefault="00B77E6C" w:rsidP="004D6F9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Aspek pertama tercermin pada perkembangan laju inflasi, sementara aspek kedua tercermin pada perkembangan nilai tukar rupiah terhadap mata uang negara lain. Perumusan tujuan tunggal ini dimaksudkan untuk memperjelas sasaran yang harus dicapai Bank Indonesia serta batas-batas tanggung jawabnya. Dengan demikian, tercapai atau tidaknya tujuan Bank Indonesia ini kelak akan dapat diukur dengan mudah.</w:t>
      </w:r>
    </w:p>
    <w:p w:rsidR="004D6F96" w:rsidRDefault="004D6F96" w:rsidP="004D6F96">
      <w:pPr>
        <w:shd w:val="clear" w:color="auto" w:fill="FFFFFF"/>
        <w:spacing w:after="0" w:line="240" w:lineRule="auto"/>
        <w:textAlignment w:val="baseline"/>
        <w:rPr>
          <w:rFonts w:asciiTheme="minorBidi" w:eastAsia="Times New Roman" w:hAnsiTheme="minorBidi" w:cs="Times New Roman"/>
          <w:b/>
          <w:bCs/>
          <w:sz w:val="24"/>
          <w:szCs w:val="24"/>
          <w:bdr w:val="none" w:sz="0" w:space="0" w:color="auto" w:frame="1"/>
          <w:lang w:val="en-US" w:eastAsia="id-ID"/>
        </w:rPr>
      </w:pPr>
    </w:p>
    <w:p w:rsidR="0032164A" w:rsidRDefault="0032164A" w:rsidP="004D6F96">
      <w:pPr>
        <w:shd w:val="clear" w:color="auto" w:fill="FFFFFF"/>
        <w:spacing w:after="0" w:line="240" w:lineRule="auto"/>
        <w:textAlignment w:val="baseline"/>
        <w:rPr>
          <w:rFonts w:asciiTheme="minorBidi" w:eastAsia="Times New Roman" w:hAnsiTheme="minorBidi" w:cs="Times New Roman"/>
          <w:b/>
          <w:bCs/>
          <w:sz w:val="24"/>
          <w:szCs w:val="24"/>
          <w:bdr w:val="none" w:sz="0" w:space="0" w:color="auto" w:frame="1"/>
          <w:lang w:val="en-US" w:eastAsia="id-ID"/>
        </w:rPr>
      </w:pPr>
    </w:p>
    <w:p w:rsidR="0032164A" w:rsidRPr="0032164A" w:rsidRDefault="0032164A" w:rsidP="004D6F96">
      <w:pPr>
        <w:shd w:val="clear" w:color="auto" w:fill="FFFFFF"/>
        <w:spacing w:after="0" w:line="240" w:lineRule="auto"/>
        <w:textAlignment w:val="baseline"/>
        <w:rPr>
          <w:rFonts w:asciiTheme="minorBidi" w:eastAsia="Times New Roman" w:hAnsiTheme="minorBidi" w:cs="Times New Roman"/>
          <w:b/>
          <w:bCs/>
          <w:sz w:val="24"/>
          <w:szCs w:val="24"/>
          <w:bdr w:val="none" w:sz="0" w:space="0" w:color="auto" w:frame="1"/>
          <w:lang w:val="en-US" w:eastAsia="id-ID"/>
        </w:rPr>
      </w:pPr>
    </w:p>
    <w:p w:rsidR="00B77E6C" w:rsidRPr="005723FC" w:rsidRDefault="00B77E6C" w:rsidP="004D6F96">
      <w:pPr>
        <w:shd w:val="clear" w:color="auto" w:fill="FFFFFF"/>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b/>
          <w:bCs/>
          <w:sz w:val="24"/>
          <w:szCs w:val="24"/>
          <w:bdr w:val="none" w:sz="0" w:space="0" w:color="auto" w:frame="1"/>
          <w:lang w:eastAsia="id-ID"/>
        </w:rPr>
        <w:lastRenderedPageBreak/>
        <w:t>Tiga Pilar Utama </w:t>
      </w:r>
      <w:r w:rsidRPr="005723FC">
        <w:rPr>
          <w:rFonts w:asciiTheme="minorBidi" w:eastAsia="Times New Roman" w:hAnsiTheme="minorBidi" w:cs="Times New Roman"/>
          <w:sz w:val="24"/>
          <w:szCs w:val="24"/>
          <w:lang w:eastAsia="id-ID"/>
        </w:rPr>
        <w:t>  </w:t>
      </w:r>
    </w:p>
    <w:p w:rsidR="00B77E6C" w:rsidRPr="005723FC" w:rsidRDefault="00B77E6C" w:rsidP="004D6F96">
      <w:pPr>
        <w:shd w:val="clear" w:color="auto" w:fill="FFFFFF"/>
        <w:spacing w:after="0" w:line="240" w:lineRule="auto"/>
        <w:ind w:firstLine="720"/>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Untuk mencapai tujuan tersebut Bank Indonesia didukung oleh tiga pilar yang merupakan tiga bidang tugasnya. Ketiga bidang tugas tersebut perlu diintegrasi agar tujuan mencapai dan memelihara kestabilan nilai rupiah dapat dicapai secara efektif dan efisien. berikut tugas dan fungsi Bank Indonesia yang telah dituangkan dalam bentuk gambar berisi tiga pilar.</w:t>
      </w:r>
    </w:p>
    <w:p w:rsidR="00B77E6C" w:rsidRDefault="00B51C83" w:rsidP="004D6F96">
      <w:pPr>
        <w:spacing w:after="0" w:line="240" w:lineRule="auto"/>
        <w:jc w:val="center"/>
        <w:rPr>
          <w:rFonts w:asciiTheme="minorBidi" w:eastAsia="Times New Roman" w:hAnsiTheme="minorBidi" w:cs="Times New Roman"/>
          <w:color w:val="333333"/>
          <w:sz w:val="24"/>
          <w:szCs w:val="24"/>
          <w:lang w:eastAsia="id-ID"/>
        </w:rPr>
      </w:pPr>
      <w:r w:rsidRPr="004D6F96">
        <w:rPr>
          <w:rFonts w:asciiTheme="minorBidi" w:hAnsiTheme="minorBidi" w:cs="Times New Roman"/>
          <w:noProof/>
          <w:sz w:val="24"/>
          <w:szCs w:val="24"/>
          <w:lang w:val="en-US"/>
        </w:rPr>
        <w:drawing>
          <wp:inline distT="0" distB="0" distL="0" distR="0" wp14:anchorId="476B29FF" wp14:editId="7536FAA5">
            <wp:extent cx="2692712" cy="215748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691911" cy="2156838"/>
                    </a:xfrm>
                    <a:prstGeom prst="rect">
                      <a:avLst/>
                    </a:prstGeom>
                  </pic:spPr>
                </pic:pic>
              </a:graphicData>
            </a:graphic>
          </wp:inline>
        </w:drawing>
      </w:r>
    </w:p>
    <w:p w:rsidR="004D6F96" w:rsidRDefault="004D6F96" w:rsidP="004D6F96">
      <w:pPr>
        <w:spacing w:after="0" w:line="240" w:lineRule="auto"/>
        <w:jc w:val="center"/>
        <w:rPr>
          <w:rFonts w:asciiTheme="minorBidi" w:eastAsia="Times New Roman" w:hAnsiTheme="minorBidi" w:cs="Times New Roman"/>
          <w:color w:val="333333"/>
          <w:sz w:val="24"/>
          <w:szCs w:val="24"/>
          <w:lang w:eastAsia="id-ID"/>
        </w:rPr>
      </w:pPr>
    </w:p>
    <w:p w:rsidR="004D6F96" w:rsidRPr="004D6F96" w:rsidRDefault="004D6F96" w:rsidP="004D6F96">
      <w:pPr>
        <w:spacing w:after="0" w:line="240" w:lineRule="auto"/>
        <w:jc w:val="center"/>
        <w:rPr>
          <w:rFonts w:asciiTheme="minorBidi" w:eastAsia="Times New Roman" w:hAnsiTheme="minorBidi" w:cs="Times New Roman"/>
          <w:color w:val="333333"/>
          <w:sz w:val="24"/>
          <w:szCs w:val="24"/>
          <w:lang w:eastAsia="id-ID"/>
        </w:rPr>
      </w:pPr>
    </w:p>
    <w:tbl>
      <w:tblPr>
        <w:tblW w:w="5000" w:type="pct"/>
        <w:tblCellMar>
          <w:left w:w="0" w:type="dxa"/>
          <w:right w:w="0" w:type="dxa"/>
        </w:tblCellMar>
        <w:tblLook w:val="04A0" w:firstRow="1" w:lastRow="0" w:firstColumn="1" w:lastColumn="0" w:noHBand="0" w:noVBand="1"/>
      </w:tblPr>
      <w:tblGrid>
        <w:gridCol w:w="9026"/>
      </w:tblGrid>
      <w:tr w:rsidR="00B77E6C" w:rsidRPr="004D6F96" w:rsidTr="00B77E6C">
        <w:tc>
          <w:tcPr>
            <w:tcW w:w="5000" w:type="pct"/>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B77E6C" w:rsidRPr="004D6F96">
              <w:tc>
                <w:tcPr>
                  <w:tcW w:w="0" w:type="auto"/>
                  <w:tcBorders>
                    <w:top w:val="nil"/>
                    <w:left w:val="nil"/>
                    <w:bottom w:val="nil"/>
                    <w:right w:val="nil"/>
                  </w:tcBorders>
                  <w:vAlign w:val="bottom"/>
                  <w:hideMark/>
                </w:tcPr>
                <w:p w:rsidR="00B51C83" w:rsidRPr="004D6F96" w:rsidRDefault="00B51C83" w:rsidP="004D6F96">
                  <w:pPr>
                    <w:shd w:val="clear" w:color="auto" w:fill="FFFFFF"/>
                    <w:spacing w:after="0" w:line="240" w:lineRule="auto"/>
                    <w:textAlignment w:val="baseline"/>
                    <w:rPr>
                      <w:rFonts w:asciiTheme="minorBidi" w:eastAsia="Times New Roman" w:hAnsiTheme="minorBidi" w:cs="Times New Roman"/>
                      <w:color w:val="333333"/>
                      <w:sz w:val="24"/>
                      <w:szCs w:val="24"/>
                      <w:lang w:eastAsia="id-ID"/>
                    </w:rPr>
                  </w:pPr>
                  <w:r w:rsidRPr="004D6F96">
                    <w:rPr>
                      <w:rFonts w:asciiTheme="minorBidi" w:eastAsia="Times New Roman" w:hAnsiTheme="minorBidi" w:cs="Times New Roman"/>
                      <w:b/>
                      <w:bCs/>
                      <w:color w:val="333333"/>
                      <w:sz w:val="24"/>
                      <w:szCs w:val="24"/>
                      <w:bdr w:val="none" w:sz="0" w:space="0" w:color="auto" w:frame="1"/>
                      <w:lang w:eastAsia="id-ID"/>
                    </w:rPr>
                    <w:t>PROSES PERUMUSAN KEBIJAKAN</w:t>
                  </w:r>
                </w:p>
                <w:p w:rsidR="004D6F96" w:rsidRDefault="004D6F96" w:rsidP="004D6F96">
                  <w:pPr>
                    <w:shd w:val="clear" w:color="auto" w:fill="FFFFFF"/>
                    <w:spacing w:after="0" w:line="240" w:lineRule="auto"/>
                    <w:textAlignment w:val="baseline"/>
                    <w:rPr>
                      <w:rFonts w:asciiTheme="minorBidi" w:eastAsia="Times New Roman" w:hAnsiTheme="minorBidi" w:cs="Times New Roman"/>
                      <w:color w:val="333333"/>
                      <w:sz w:val="24"/>
                      <w:szCs w:val="24"/>
                      <w:lang w:eastAsia="id-ID"/>
                    </w:rPr>
                  </w:pPr>
                </w:p>
                <w:p w:rsidR="00B51C83" w:rsidRPr="005723FC" w:rsidRDefault="00B51C83" w:rsidP="004D6F9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Bank Indonesia sebagai otoritas yang mengeluarkan peraturan/kebijakan perlu memastikan proses perumusan kebijakan dilakukan melalui prosedur dan mekanisme yang terstruktur dan sistematis guna menghasilkan output kebijakan yang kredibel dan memenuhi prinsip akuntablitas publik. Untuk meningkatkan kualitas kebijakan, perumusan kebijakan harus memenuhi prinsip-prinsip yakni: (i) berdasarkan riset, (ii) berorientasi ke depan, (iii) tata kelola yang baik, (iv) mempertimbangkan dampak antar kebijakan, dan (v) memperhatikan ketentuan perundang-undangan yang berlaku.</w:t>
                  </w:r>
                </w:p>
                <w:p w:rsidR="00B51C83" w:rsidRPr="005723FC" w:rsidRDefault="00B51C83" w:rsidP="004D6F9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Untuk memastikan proses perumusan kebijakan di Bank Indonesia telah dilaksanakan secara sistematis, Bank Indonesia menetapkan kerangka kerja kebijakan yang terintegrasi antara kebijakan moneter, makroprudensial, sistem pembayaran dan pengelolaan uang Rupiah, serta dukungan kebijakan ekonomi daerah dan kebijakan internasional. Terkait proses perumusan kebijakan, peningkatan fokus pada aspek </w:t>
                  </w:r>
                  <w:r w:rsidRPr="005723FC">
                    <w:rPr>
                      <w:rFonts w:asciiTheme="minorBidi" w:eastAsia="Times New Roman" w:hAnsiTheme="minorBidi" w:cs="Times New Roman"/>
                      <w:i/>
                      <w:iCs/>
                      <w:sz w:val="24"/>
                      <w:szCs w:val="24"/>
                      <w:bdr w:val="none" w:sz="0" w:space="0" w:color="auto" w:frame="1"/>
                      <w:lang w:eastAsia="id-ID"/>
                    </w:rPr>
                    <w:t>governance </w:t>
                  </w:r>
                  <w:r w:rsidRPr="005723FC">
                    <w:rPr>
                      <w:rFonts w:asciiTheme="minorBidi" w:eastAsia="Times New Roman" w:hAnsiTheme="minorBidi" w:cs="Times New Roman"/>
                      <w:sz w:val="24"/>
                      <w:szCs w:val="24"/>
                      <w:lang w:eastAsia="id-ID"/>
                    </w:rPr>
                    <w:t>diharapkan dapat menghasilkan kebijakan Bank Indonesia yang lebih efektif, kredibel, dan memenuhi prinsip akuntabilitas publik.</w:t>
                  </w:r>
                </w:p>
                <w:p w:rsidR="00B51C83" w:rsidRPr="005723FC" w:rsidRDefault="00B51C83" w:rsidP="004D6F96">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Di samping itu, proses perumusan kebijakan dikomunikasikan kepada publik untuk meningkatkan kredibilitas pengaturan/kebijakan yang dihasilkan. Guna meningkatkan partisipasi masyarakat dalam perumusan kebijakan, dibuka kesempatan kepada pemangku kepentingan untuk memberikan masukan terhadap rumusan pengaturan. Hal tersebut diharapkan dapat menjembatani komunikasi kebijakan di awal dan meningkatkan efektivitas dalam implementasi kebijakan ke depan.</w:t>
                  </w:r>
                </w:p>
                <w:p w:rsidR="00B51C83" w:rsidRDefault="00B51C83" w:rsidP="004D6F96">
                  <w:pPr>
                    <w:spacing w:after="0" w:line="240" w:lineRule="auto"/>
                    <w:rPr>
                      <w:rFonts w:asciiTheme="minorBidi" w:hAnsiTheme="minorBidi" w:cs="Times New Roman"/>
                      <w:sz w:val="24"/>
                      <w:szCs w:val="24"/>
                      <w:lang w:val="en-US"/>
                    </w:rPr>
                  </w:pPr>
                </w:p>
                <w:p w:rsidR="0032164A" w:rsidRDefault="0032164A" w:rsidP="004D6F96">
                  <w:pPr>
                    <w:spacing w:after="0" w:line="240" w:lineRule="auto"/>
                    <w:rPr>
                      <w:rFonts w:asciiTheme="minorBidi" w:hAnsiTheme="minorBidi" w:cs="Times New Roman"/>
                      <w:sz w:val="24"/>
                      <w:szCs w:val="24"/>
                      <w:lang w:val="en-US"/>
                    </w:rPr>
                  </w:pPr>
                </w:p>
                <w:p w:rsidR="0032164A" w:rsidRDefault="0032164A" w:rsidP="004D6F96">
                  <w:pPr>
                    <w:spacing w:after="0" w:line="240" w:lineRule="auto"/>
                    <w:rPr>
                      <w:rFonts w:asciiTheme="minorBidi" w:hAnsiTheme="minorBidi" w:cs="Times New Roman"/>
                      <w:sz w:val="24"/>
                      <w:szCs w:val="24"/>
                      <w:lang w:val="en-US"/>
                    </w:rPr>
                  </w:pPr>
                </w:p>
                <w:p w:rsidR="0032164A" w:rsidRDefault="0032164A" w:rsidP="004D6F96">
                  <w:pPr>
                    <w:spacing w:after="0" w:line="240" w:lineRule="auto"/>
                    <w:rPr>
                      <w:rFonts w:asciiTheme="minorBidi" w:hAnsiTheme="minorBidi" w:cs="Times New Roman"/>
                      <w:sz w:val="24"/>
                      <w:szCs w:val="24"/>
                      <w:lang w:val="en-US"/>
                    </w:rPr>
                  </w:pPr>
                </w:p>
                <w:p w:rsidR="0032164A" w:rsidRPr="0032164A" w:rsidRDefault="0032164A" w:rsidP="004D6F96">
                  <w:pPr>
                    <w:spacing w:after="0" w:line="240" w:lineRule="auto"/>
                    <w:rPr>
                      <w:rFonts w:asciiTheme="minorBidi" w:hAnsiTheme="minorBidi" w:cs="Times New Roman"/>
                      <w:sz w:val="24"/>
                      <w:szCs w:val="24"/>
                      <w:lang w:val="en-US"/>
                    </w:rPr>
                  </w:pPr>
                </w:p>
                <w:tbl>
                  <w:tblPr>
                    <w:tblW w:w="5000" w:type="pct"/>
                    <w:tblCellMar>
                      <w:left w:w="0" w:type="dxa"/>
                      <w:right w:w="0" w:type="dxa"/>
                    </w:tblCellMar>
                    <w:tblLook w:val="04A0" w:firstRow="1" w:lastRow="0" w:firstColumn="1" w:lastColumn="0" w:noHBand="0" w:noVBand="1"/>
                  </w:tblPr>
                  <w:tblGrid>
                    <w:gridCol w:w="9026"/>
                  </w:tblGrid>
                  <w:tr w:rsidR="005723FC" w:rsidRPr="005723FC">
                    <w:tc>
                      <w:tcPr>
                        <w:tcW w:w="0" w:type="auto"/>
                        <w:tcBorders>
                          <w:top w:val="nil"/>
                          <w:left w:val="nil"/>
                          <w:bottom w:val="nil"/>
                          <w:right w:val="nil"/>
                        </w:tcBorders>
                        <w:vAlign w:val="bottom"/>
                        <w:hideMark/>
                      </w:tcPr>
                      <w:p w:rsidR="00B77E6C" w:rsidRPr="005723FC" w:rsidRDefault="00B77E6C" w:rsidP="004D6F96">
                        <w:pPr>
                          <w:spacing w:after="0" w:line="240" w:lineRule="auto"/>
                          <w:jc w:val="center"/>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b/>
                            <w:bCs/>
                            <w:sz w:val="24"/>
                            <w:szCs w:val="24"/>
                            <w:bdr w:val="none" w:sz="0" w:space="0" w:color="auto" w:frame="1"/>
                            <w:lang w:eastAsia="id-ID"/>
                          </w:rPr>
                          <w:lastRenderedPageBreak/>
                          <w:t>KEDUDUKAN BANK INDONESIA SEBAGAI LEMBAGA NEGARA</w:t>
                        </w:r>
                      </w:p>
                      <w:p w:rsidR="00B77E6C" w:rsidRPr="005723FC" w:rsidRDefault="00B77E6C" w:rsidP="004D6F96">
                        <w:pPr>
                          <w:spacing w:after="0" w:line="240" w:lineRule="auto"/>
                          <w:jc w:val="center"/>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 </w:t>
                        </w:r>
                      </w:p>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Dilhat dari sistem ketatanegaraan Republik Indonesia, kedudukan BI sebagai lembaga negara yang independen tidak sejajar dengan lembaga tinggi negara seperti Dewan Perwakilan Rakyat, Badan Pemeriksa Keuangan, dan Mahkamah Agung. Kedudukan BI juga tidak sama dengan Departemen karena kedudukan BI berada di luar pemerintahan. Status dan kedudukan yang khusus tersebut diperlukan agar BI dapat melaksanakan peran dan fungsinya sebagai Otoritas Moneter secara lebih efektif dan efisien. Meskipun BI berkedudukan sebagai lembaga negara independen, dalam melaksanakan tugasnya, BI mempunyai hubungan kerja dan koordinasi yang baik dengan DPR, BPK, Pemerintah dan pihak lainnya.</w:t>
                        </w:r>
                      </w:p>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Dalam hubungannya dengan Presiden dan DPR, BI setiap awal tahun anggaran menyampaikan informasi tertulis mengenai evaluasi pelaksanaan kebijakan moneter dan rencana kebijakan moneter yang akan datang. Khusus kepada DPR, pelaksanaan tugas dan wewenang setiap triwulan dan sewaktu-waktu bila diminta oleh DPR. Selain itu, BI menyampaikan rencana dan realiasasi anggaran tahunan kepada Pemerintah dan DPR. Dalam hubungannya dengan BPK, BI wajib menyampaikan laporan keuangan tahunan kepada BPK.</w:t>
                        </w:r>
                      </w:p>
                      <w:p w:rsidR="004D6F96" w:rsidRPr="005723FC" w:rsidRDefault="004D6F96" w:rsidP="004D6F96">
                        <w:pPr>
                          <w:spacing w:after="0" w:line="240" w:lineRule="auto"/>
                          <w:textAlignment w:val="baseline"/>
                          <w:rPr>
                            <w:rFonts w:asciiTheme="minorBidi" w:eastAsia="Times New Roman" w:hAnsiTheme="minorBidi" w:cs="Times New Roman"/>
                            <w:b/>
                            <w:bCs/>
                            <w:sz w:val="24"/>
                            <w:szCs w:val="24"/>
                            <w:bdr w:val="none" w:sz="0" w:space="0" w:color="auto" w:frame="1"/>
                            <w:lang w:eastAsia="id-ID"/>
                          </w:rPr>
                        </w:pPr>
                      </w:p>
                      <w:p w:rsidR="00B77E6C" w:rsidRPr="005723FC" w:rsidRDefault="00B77E6C" w:rsidP="004D6F96">
                        <w:pPr>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b/>
                            <w:bCs/>
                            <w:sz w:val="24"/>
                            <w:szCs w:val="24"/>
                            <w:bdr w:val="none" w:sz="0" w:space="0" w:color="auto" w:frame="1"/>
                            <w:lang w:eastAsia="id-ID"/>
                          </w:rPr>
                          <w:t>Hubungan BI dengan Pemerintah : Hubungan Keuangan</w:t>
                        </w:r>
                      </w:p>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Dalam hal hubungan keuangan dengan Pemerintah, Bank Indonesia membantu menerbitkan dan menempatkan surat-surat hutang negara guna membiayai Anggaran Pendapatan dan Belanja Negara (APBN) tanpa diperbolehkan membeli sendiri surat-surat hutang negara tersebut.</w:t>
                        </w:r>
                      </w:p>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Bank Indonesia juga bertindak sebagai kasir Pemerintah yang menatausahakan rekening Pemerintah di Bank Indonesia, dan atas permintaan Pemerintah, dapat menerima pinjaman luar negeri untuk dan atas nama Pemerintah Indonesia.</w:t>
                        </w:r>
                      </w:p>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Namun demikian, agar pelaksanaan tugas Bank Indonesia benar-benar terfokus serta agar efektivitas pengendalian moneter tidak terganggu, pemberian kredit kepada Pemerintah guna mengatasi</w:t>
                        </w:r>
                        <w:r w:rsidRPr="005723FC">
                          <w:rPr>
                            <w:rFonts w:asciiTheme="minorBidi" w:eastAsia="Times New Roman" w:hAnsiTheme="minorBidi" w:cs="Times New Roman"/>
                            <w:sz w:val="24"/>
                            <w:szCs w:val="24"/>
                            <w:bdr w:val="none" w:sz="0" w:space="0" w:color="auto" w:frame="1"/>
                            <w:lang w:eastAsia="id-ID"/>
                          </w:rPr>
                          <w:t> </w:t>
                        </w:r>
                        <w:r w:rsidRPr="005723FC">
                          <w:rPr>
                            <w:rFonts w:asciiTheme="minorBidi" w:eastAsia="Times New Roman" w:hAnsiTheme="minorBidi" w:cs="Times New Roman"/>
                            <w:i/>
                            <w:iCs/>
                            <w:sz w:val="24"/>
                            <w:szCs w:val="24"/>
                            <w:bdr w:val="none" w:sz="0" w:space="0" w:color="auto" w:frame="1"/>
                            <w:lang w:eastAsia="id-ID"/>
                          </w:rPr>
                          <w:t>deficit spending</w:t>
                        </w:r>
                        <w:r w:rsidRPr="005723FC">
                          <w:rPr>
                            <w:rFonts w:asciiTheme="minorBidi" w:eastAsia="Times New Roman" w:hAnsiTheme="minorBidi" w:cs="Times New Roman"/>
                            <w:sz w:val="24"/>
                            <w:szCs w:val="24"/>
                            <w:bdr w:val="none" w:sz="0" w:space="0" w:color="auto" w:frame="1"/>
                            <w:lang w:eastAsia="id-ID"/>
                          </w:rPr>
                          <w:t> </w:t>
                        </w:r>
                        <w:r w:rsidRPr="005723FC">
                          <w:rPr>
                            <w:rFonts w:asciiTheme="minorBidi" w:eastAsia="Times New Roman" w:hAnsiTheme="minorBidi" w:cs="Times New Roman"/>
                            <w:sz w:val="24"/>
                            <w:szCs w:val="24"/>
                            <w:lang w:eastAsia="id-ID"/>
                          </w:rPr>
                          <w:t>- yang selama ini dilakukan oleh Bank Indonesia berdasarkan undang-undang yang lama - kini tidak dapat lagi dilakukan oleh Bank Indonesia.</w:t>
                        </w:r>
                      </w:p>
                      <w:p w:rsidR="004D6F96" w:rsidRPr="005723FC" w:rsidRDefault="004D6F96" w:rsidP="004D6F96">
                        <w:pPr>
                          <w:spacing w:after="0" w:line="240" w:lineRule="auto"/>
                          <w:textAlignment w:val="baseline"/>
                          <w:rPr>
                            <w:rFonts w:asciiTheme="minorBidi" w:eastAsia="Times New Roman" w:hAnsiTheme="minorBidi" w:cs="Times New Roman"/>
                            <w:b/>
                            <w:bCs/>
                            <w:sz w:val="24"/>
                            <w:szCs w:val="24"/>
                            <w:bdr w:val="none" w:sz="0" w:space="0" w:color="auto" w:frame="1"/>
                            <w:lang w:eastAsia="id-ID"/>
                          </w:rPr>
                        </w:pPr>
                      </w:p>
                      <w:p w:rsidR="00B77E6C" w:rsidRPr="005723FC" w:rsidRDefault="00B77E6C" w:rsidP="004D6F96">
                        <w:pPr>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b/>
                            <w:bCs/>
                            <w:sz w:val="24"/>
                            <w:szCs w:val="24"/>
                            <w:bdr w:val="none" w:sz="0" w:space="0" w:color="auto" w:frame="1"/>
                            <w:lang w:eastAsia="id-ID"/>
                          </w:rPr>
                          <w:t>Hubungan BI dengan Pemerintah : Independensi dalam Interdependensi</w:t>
                        </w:r>
                      </w:p>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Meskipun Bank Indonesia merupakan lembaga negara yang independen, tetap diperlukan koordinasi yang bersifat konsultatif dengan Pemerintah, sebab tugas-tugas Bank Indonesia merupakan bagian yang tidak terpisahkan dari kebijakan-kebijakan ekonomi nasional secara keseluruhan.</w:t>
                        </w:r>
                      </w:p>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Koordinasi di antara Bank Indonesia dan Pemerintah diperlukan pada sidang kabinet yang membahas masalah ekonomi, perbankan dan keuangan yang berkaitan dengan tugas-tugas Bank Indonesia. Dalam sidang kabinet tersebut Pemerintah dapat meminta pendapat Bank Indonesia.</w:t>
                        </w:r>
                      </w:p>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Selain itu, Bank Indonesia juga dapat memberikan masukan, pendapat serta pertimbangan kepada Pemerintah mengenai Rancangan APBN serta kebijakan-kebijakan lain yang berkaitan dengan tugas dan wewenangnya.</w:t>
                        </w:r>
                      </w:p>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 xml:space="preserve">Di lain pihak, Pemerintah juga dapat menghadiri Rapat Dewan Gubernur Bank Indonesia dengan hak bicara tetapi tanpa hak suara. Oleh sebab itu, implementasi independensi justru sangat dipengaruhi oleh kemantapan hubungan kerja yang </w:t>
                        </w:r>
                        <w:r w:rsidRPr="005723FC">
                          <w:rPr>
                            <w:rFonts w:asciiTheme="minorBidi" w:eastAsia="Times New Roman" w:hAnsiTheme="minorBidi" w:cs="Times New Roman"/>
                            <w:sz w:val="24"/>
                            <w:szCs w:val="24"/>
                            <w:lang w:eastAsia="id-ID"/>
                          </w:rPr>
                          <w:lastRenderedPageBreak/>
                          <w:t>proporsional di antara Bank Indonesia di satu pihak dan Pemerintah serta lembaga-lembaga terkait lainnya di lain pihak, dengan tetap berlandaskan pembagian tugas dan wewenang masing-masing.</w:t>
                        </w:r>
                      </w:p>
                      <w:p w:rsidR="004D6F96" w:rsidRPr="005723FC" w:rsidRDefault="004D6F96" w:rsidP="004D6F96">
                        <w:pPr>
                          <w:spacing w:after="0" w:line="240" w:lineRule="auto"/>
                          <w:textAlignment w:val="baseline"/>
                          <w:rPr>
                            <w:rFonts w:asciiTheme="minorBidi" w:eastAsia="Times New Roman" w:hAnsiTheme="minorBidi" w:cs="Times New Roman"/>
                            <w:b/>
                            <w:bCs/>
                            <w:sz w:val="24"/>
                            <w:szCs w:val="24"/>
                            <w:bdr w:val="none" w:sz="0" w:space="0" w:color="auto" w:frame="1"/>
                            <w:lang w:eastAsia="id-ID"/>
                          </w:rPr>
                        </w:pPr>
                      </w:p>
                      <w:p w:rsidR="00B77E6C" w:rsidRPr="005723FC" w:rsidRDefault="00B77E6C" w:rsidP="004D6F96">
                        <w:pPr>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b/>
                            <w:bCs/>
                            <w:sz w:val="24"/>
                            <w:szCs w:val="24"/>
                            <w:bdr w:val="none" w:sz="0" w:space="0" w:color="auto" w:frame="1"/>
                            <w:lang w:eastAsia="id-ID"/>
                          </w:rPr>
                          <w:t>Kerjasama BI dengan Lembaga Lain</w:t>
                        </w:r>
                      </w:p>
                      <w:p w:rsidR="00B77E6C" w:rsidRPr="005723FC" w:rsidRDefault="00B77E6C" w:rsidP="004D6F96">
                        <w:pPr>
                          <w:spacing w:after="0" w:line="240" w:lineRule="auto"/>
                          <w:ind w:firstLine="567"/>
                          <w:jc w:val="both"/>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Menyadari pentingnya dukungan dari berbagai pihak bagi keberhasilan tugasnya, BI senantiasa bekerja sama dan berkoordinasi dengan berbagai lembaga negara dan unsur masyarakat lainnya. Beberapa kerjasama ini dituangkan dalam nota kesepahaman (MoU), keputusan bersama (SKB), serta perjanjian-perjanjian, yang ditujukan untuk menciptakan sinergi dan kejelasan pembagian tugas antar lembaga serta mendorong penegakan hukum yang lebih efektif.</w:t>
                        </w:r>
                      </w:p>
                      <w:p w:rsidR="00B51C83" w:rsidRPr="005723FC" w:rsidRDefault="00B51C83" w:rsidP="004D6F96">
                        <w:pPr>
                          <w:spacing w:after="0" w:line="240" w:lineRule="auto"/>
                          <w:textAlignment w:val="baseline"/>
                          <w:rPr>
                            <w:rFonts w:asciiTheme="minorBidi" w:eastAsia="Times New Roman" w:hAnsiTheme="minorBidi" w:cs="Times New Roman"/>
                            <w:sz w:val="24"/>
                            <w:szCs w:val="24"/>
                            <w:lang w:eastAsia="id-ID"/>
                          </w:rPr>
                        </w:pPr>
                      </w:p>
                      <w:p w:rsidR="004D6F96" w:rsidRPr="005723FC" w:rsidRDefault="004D6F96" w:rsidP="004D6F96">
                        <w:pPr>
                          <w:spacing w:after="0" w:line="240" w:lineRule="auto"/>
                          <w:textAlignment w:val="baseline"/>
                          <w:rPr>
                            <w:rFonts w:asciiTheme="minorBidi" w:eastAsia="Times New Roman" w:hAnsiTheme="minorBidi" w:cs="Times New Roman"/>
                            <w:sz w:val="24"/>
                            <w:szCs w:val="24"/>
                            <w:lang w:eastAsia="id-ID"/>
                          </w:rPr>
                        </w:pPr>
                      </w:p>
                      <w:p w:rsidR="00B77E6C" w:rsidRPr="005723FC" w:rsidRDefault="00B77E6C" w:rsidP="004D6F9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b/>
                            <w:bCs/>
                            <w:sz w:val="24"/>
                            <w:szCs w:val="24"/>
                            <w:bdr w:val="none" w:sz="0" w:space="0" w:color="auto" w:frame="1"/>
                            <w:lang w:eastAsia="id-ID"/>
                          </w:rPr>
                          <w:t>HUBUNGAN KERJASAMA INTERNASIONAL YANG DILAKUKAN BANK INDONESIA</w:t>
                        </w:r>
                      </w:p>
                      <w:p w:rsidR="00B77E6C" w:rsidRPr="005723FC" w:rsidRDefault="00B77E6C" w:rsidP="004D6F9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 </w:t>
                        </w:r>
                      </w:p>
                      <w:p w:rsidR="00B77E6C" w:rsidRPr="005723FC" w:rsidRDefault="00B77E6C" w:rsidP="004D6F96">
                        <w:pPr>
                          <w:shd w:val="clear" w:color="auto" w:fill="FFFFFF"/>
                          <w:spacing w:after="0" w:line="240" w:lineRule="auto"/>
                          <w:ind w:firstLine="567"/>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BI menjalin hubungan kerjasama dengan</w:t>
                        </w:r>
                        <w:r w:rsidRPr="005723FC">
                          <w:rPr>
                            <w:rFonts w:asciiTheme="minorBidi" w:eastAsia="Times New Roman" w:hAnsiTheme="minorBidi" w:cs="Times New Roman"/>
                            <w:sz w:val="24"/>
                            <w:szCs w:val="24"/>
                            <w:bdr w:val="none" w:sz="0" w:space="0" w:color="auto" w:frame="1"/>
                            <w:lang w:eastAsia="id-ID"/>
                          </w:rPr>
                          <w:t> </w:t>
                        </w:r>
                        <w:hyperlink r:id="rId7" w:history="1">
                          <w:r w:rsidRPr="005723FC">
                            <w:rPr>
                              <w:rFonts w:asciiTheme="minorBidi" w:eastAsia="Times New Roman" w:hAnsiTheme="minorBidi" w:cs="Times New Roman"/>
                              <w:sz w:val="24"/>
                              <w:szCs w:val="24"/>
                              <w:bdr w:val="none" w:sz="0" w:space="0" w:color="auto" w:frame="1"/>
                              <w:lang w:eastAsia="id-ID"/>
                            </w:rPr>
                            <w:t>lembaga internasional</w:t>
                          </w:r>
                        </w:hyperlink>
                        <w:r w:rsidRPr="005723FC">
                          <w:rPr>
                            <w:rFonts w:asciiTheme="minorBidi" w:eastAsia="Times New Roman" w:hAnsiTheme="minorBidi" w:cs="Times New Roman"/>
                            <w:sz w:val="24"/>
                            <w:szCs w:val="24"/>
                            <w:bdr w:val="none" w:sz="0" w:space="0" w:color="auto" w:frame="1"/>
                            <w:lang w:eastAsia="id-ID"/>
                          </w:rPr>
                          <w:t> </w:t>
                        </w:r>
                        <w:r w:rsidRPr="005723FC">
                          <w:rPr>
                            <w:rFonts w:asciiTheme="minorBidi" w:eastAsia="Times New Roman" w:hAnsiTheme="minorBidi" w:cs="Times New Roman"/>
                            <w:sz w:val="24"/>
                            <w:szCs w:val="24"/>
                            <w:lang w:eastAsia="id-ID"/>
                          </w:rPr>
                          <w:t>yang diperlukan dalam rangka menunjang kelancaran pelaksanaan tugas Bank Indonesia maupun Pemerintah yang berhubungan dengan ekonomi, </w:t>
                        </w:r>
                        <w:r w:rsidRPr="005723FC">
                          <w:rPr>
                            <w:rFonts w:asciiTheme="minorBidi" w:eastAsia="Times New Roman" w:hAnsiTheme="minorBidi" w:cs="Times New Roman"/>
                            <w:sz w:val="24"/>
                            <w:szCs w:val="24"/>
                            <w:bdr w:val="none" w:sz="0" w:space="0" w:color="auto" w:frame="1"/>
                            <w:lang w:eastAsia="id-ID"/>
                          </w:rPr>
                          <w:t>moneter, maupun perbankan. BI menjalin kerjasama internasional meliputi bidang-bidang :</w:t>
                        </w:r>
                      </w:p>
                      <w:p w:rsidR="00B77E6C" w:rsidRPr="005723FC" w:rsidRDefault="00B77E6C" w:rsidP="004D6F96">
                        <w:pPr>
                          <w:numPr>
                            <w:ilvl w:val="0"/>
                            <w:numId w:val="20"/>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Intervensi bersama untuk kestabilan pasar valuta asing</w:t>
                        </w:r>
                      </w:p>
                      <w:p w:rsidR="00B77E6C" w:rsidRPr="005723FC" w:rsidRDefault="00B77E6C" w:rsidP="004D6F96">
                        <w:pPr>
                          <w:numPr>
                            <w:ilvl w:val="0"/>
                            <w:numId w:val="20"/>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Penyelesaian transaksi lintas negara</w:t>
                        </w:r>
                      </w:p>
                      <w:p w:rsidR="00B77E6C" w:rsidRPr="005723FC" w:rsidRDefault="00B77E6C" w:rsidP="004D6F96">
                        <w:pPr>
                          <w:numPr>
                            <w:ilvl w:val="0"/>
                            <w:numId w:val="20"/>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Hubungan koresponden</w:t>
                        </w:r>
                      </w:p>
                      <w:p w:rsidR="00B77E6C" w:rsidRPr="005723FC" w:rsidRDefault="00B77E6C" w:rsidP="004D6F96">
                        <w:pPr>
                          <w:numPr>
                            <w:ilvl w:val="0"/>
                            <w:numId w:val="20"/>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Tukar-menukar informasi mengenai hal-hal yang terkait dengan tugas-tugas selaku bank sentral</w:t>
                        </w:r>
                      </w:p>
                      <w:p w:rsidR="00B77E6C" w:rsidRPr="005723FC" w:rsidRDefault="00B77E6C" w:rsidP="004D6F96">
                        <w:pPr>
                          <w:numPr>
                            <w:ilvl w:val="0"/>
                            <w:numId w:val="20"/>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723FC">
                          <w:rPr>
                            <w:rFonts w:asciiTheme="minorBidi" w:eastAsia="Times New Roman" w:hAnsiTheme="minorBidi" w:cs="Times New Roman"/>
                            <w:sz w:val="24"/>
                            <w:szCs w:val="24"/>
                            <w:lang w:eastAsia="id-ID"/>
                          </w:rPr>
                          <w:t>Pelatihan/penelitian di bidang moneter dan sistem pembayaran.</w:t>
                        </w:r>
                      </w:p>
                      <w:p w:rsidR="00B77E6C" w:rsidRPr="005723FC" w:rsidRDefault="00B77E6C" w:rsidP="004D6F96">
                        <w:pPr>
                          <w:spacing w:after="0" w:line="240" w:lineRule="auto"/>
                          <w:textAlignment w:val="baseline"/>
                          <w:rPr>
                            <w:rFonts w:asciiTheme="minorBidi" w:eastAsia="Times New Roman" w:hAnsiTheme="minorBidi" w:cs="Times New Roman"/>
                            <w:sz w:val="24"/>
                            <w:szCs w:val="24"/>
                            <w:lang w:eastAsia="id-ID"/>
                          </w:rPr>
                        </w:pPr>
                      </w:p>
                      <w:p w:rsidR="005417FE" w:rsidRPr="005723FC" w:rsidRDefault="005417FE" w:rsidP="005417FE">
                        <w:pPr>
                          <w:spacing w:after="0" w:line="240" w:lineRule="auto"/>
                          <w:jc w:val="center"/>
                          <w:textAlignment w:val="baseline"/>
                          <w:rPr>
                            <w:rFonts w:asciiTheme="minorBidi" w:eastAsia="Times New Roman" w:hAnsiTheme="minorBidi" w:cs="Times New Roman"/>
                            <w:b/>
                            <w:bCs/>
                            <w:sz w:val="24"/>
                            <w:szCs w:val="24"/>
                            <w:lang w:eastAsia="id-ID"/>
                          </w:rPr>
                        </w:pPr>
                        <w:r w:rsidRPr="005723FC">
                          <w:rPr>
                            <w:rFonts w:asciiTheme="minorBidi" w:eastAsia="Times New Roman" w:hAnsiTheme="minorBidi" w:cs="Times New Roman"/>
                            <w:b/>
                            <w:bCs/>
                            <w:sz w:val="24"/>
                            <w:szCs w:val="24"/>
                            <w:lang w:eastAsia="id-ID"/>
                          </w:rPr>
                          <w:t>MENGELOLA DAN MELAKSANAKAN KEBIJAKAN MONETER</w:t>
                        </w:r>
                      </w:p>
                      <w:p w:rsidR="005417FE" w:rsidRPr="005723FC" w:rsidRDefault="005417FE" w:rsidP="005417FE">
                        <w:pPr>
                          <w:spacing w:after="0" w:line="240" w:lineRule="auto"/>
                          <w:jc w:val="center"/>
                          <w:textAlignment w:val="baseline"/>
                          <w:rPr>
                            <w:rFonts w:asciiTheme="minorBidi" w:eastAsia="Times New Roman" w:hAnsiTheme="minorBidi" w:cs="Times New Roman"/>
                            <w:b/>
                            <w:bCs/>
                            <w:sz w:val="24"/>
                            <w:szCs w:val="24"/>
                            <w:lang w:eastAsia="id-ID"/>
                          </w:rPr>
                        </w:pPr>
                      </w:p>
                    </w:tc>
                  </w:tr>
                </w:tbl>
                <w:p w:rsidR="00B77E6C" w:rsidRPr="004D6F96" w:rsidRDefault="00B77E6C" w:rsidP="004D6F96">
                  <w:pPr>
                    <w:spacing w:after="0" w:line="240" w:lineRule="auto"/>
                    <w:rPr>
                      <w:rFonts w:asciiTheme="minorBidi" w:eastAsia="Times New Roman" w:hAnsiTheme="minorBidi" w:cs="Times New Roman"/>
                      <w:sz w:val="24"/>
                      <w:szCs w:val="24"/>
                      <w:lang w:eastAsia="id-ID"/>
                    </w:rPr>
                  </w:pPr>
                </w:p>
              </w:tc>
            </w:tr>
          </w:tbl>
          <w:p w:rsidR="00B77E6C" w:rsidRPr="004D6F96" w:rsidRDefault="00B77E6C" w:rsidP="004D6F96">
            <w:pPr>
              <w:spacing w:after="0" w:line="240" w:lineRule="auto"/>
              <w:rPr>
                <w:rFonts w:asciiTheme="minorBidi" w:eastAsia="Times New Roman" w:hAnsiTheme="minorBidi" w:cs="Times New Roman"/>
                <w:sz w:val="24"/>
                <w:szCs w:val="24"/>
                <w:lang w:eastAsia="id-ID"/>
              </w:rPr>
            </w:pPr>
          </w:p>
        </w:tc>
      </w:tr>
    </w:tbl>
    <w:p w:rsidR="00525163" w:rsidRPr="004D6F96" w:rsidRDefault="00525163" w:rsidP="004D6F96">
      <w:pPr>
        <w:pStyle w:val="Heading1"/>
        <w:shd w:val="clear" w:color="auto" w:fill="FFFFFF"/>
        <w:spacing w:before="0" w:beforeAutospacing="0" w:after="0" w:afterAutospacing="0"/>
        <w:textAlignment w:val="baseline"/>
        <w:rPr>
          <w:rFonts w:asciiTheme="minorBidi" w:hAnsiTheme="minorBidi"/>
          <w:color w:val="000000" w:themeColor="text1"/>
          <w:sz w:val="24"/>
          <w:szCs w:val="24"/>
        </w:rPr>
      </w:pPr>
      <w:r w:rsidRPr="004D6F96">
        <w:rPr>
          <w:rFonts w:asciiTheme="minorBidi" w:hAnsiTheme="minorBidi"/>
          <w:color w:val="000000" w:themeColor="text1"/>
          <w:sz w:val="24"/>
          <w:szCs w:val="24"/>
        </w:rPr>
        <w:lastRenderedPageBreak/>
        <w:t>Moneter</w:t>
      </w:r>
    </w:p>
    <w:tbl>
      <w:tblPr>
        <w:tblW w:w="5000" w:type="pct"/>
        <w:tblLayout w:type="fixed"/>
        <w:tblCellMar>
          <w:left w:w="0" w:type="dxa"/>
          <w:right w:w="0" w:type="dxa"/>
        </w:tblCellMar>
        <w:tblLook w:val="04A0" w:firstRow="1" w:lastRow="0" w:firstColumn="1" w:lastColumn="0" w:noHBand="0" w:noVBand="1"/>
      </w:tblPr>
      <w:tblGrid>
        <w:gridCol w:w="9026"/>
      </w:tblGrid>
      <w:tr w:rsidR="00525163" w:rsidRPr="004D6F96" w:rsidTr="005417FE">
        <w:tc>
          <w:tcPr>
            <w:tcW w:w="5000" w:type="pct"/>
            <w:tcBorders>
              <w:top w:val="nil"/>
              <w:left w:val="nil"/>
              <w:bottom w:val="nil"/>
              <w:right w:val="nil"/>
            </w:tcBorders>
            <w:vAlign w:val="bottom"/>
            <w:hideMark/>
          </w:tcPr>
          <w:tbl>
            <w:tblPr>
              <w:tblW w:w="5000" w:type="pct"/>
              <w:tblLayout w:type="fixed"/>
              <w:tblCellMar>
                <w:left w:w="0" w:type="dxa"/>
                <w:right w:w="0" w:type="dxa"/>
              </w:tblCellMar>
              <w:tblLook w:val="04A0" w:firstRow="1" w:lastRow="0" w:firstColumn="1" w:lastColumn="0" w:noHBand="0" w:noVBand="1"/>
            </w:tblPr>
            <w:tblGrid>
              <w:gridCol w:w="9026"/>
            </w:tblGrid>
            <w:tr w:rsidR="00525163" w:rsidRPr="004D6F96" w:rsidTr="005417FE">
              <w:tc>
                <w:tcPr>
                  <w:tcW w:w="9026" w:type="dxa"/>
                  <w:tcBorders>
                    <w:top w:val="nil"/>
                    <w:left w:val="nil"/>
                    <w:bottom w:val="nil"/>
                    <w:right w:val="nil"/>
                  </w:tcBorders>
                  <w:vAlign w:val="bottom"/>
                  <w:hideMark/>
                </w:tcPr>
                <w:tbl>
                  <w:tblPr>
                    <w:tblW w:w="5000" w:type="pct"/>
                    <w:tblLayout w:type="fixed"/>
                    <w:tblCellMar>
                      <w:left w:w="0" w:type="dxa"/>
                      <w:right w:w="0" w:type="dxa"/>
                    </w:tblCellMar>
                    <w:tblLook w:val="04A0" w:firstRow="1" w:lastRow="0" w:firstColumn="1" w:lastColumn="0" w:noHBand="0" w:noVBand="1"/>
                  </w:tblPr>
                  <w:tblGrid>
                    <w:gridCol w:w="9026"/>
                  </w:tblGrid>
                  <w:tr w:rsidR="00525163" w:rsidRPr="004D6F96" w:rsidTr="005417FE">
                    <w:tc>
                      <w:tcPr>
                        <w:tcW w:w="9026" w:type="dxa"/>
                        <w:tcBorders>
                          <w:top w:val="nil"/>
                          <w:left w:val="nil"/>
                          <w:bottom w:val="nil"/>
                          <w:right w:val="nil"/>
                        </w:tcBorders>
                        <w:vAlign w:val="bottom"/>
                        <w:hideMark/>
                      </w:tcPr>
                      <w:tbl>
                        <w:tblPr>
                          <w:tblW w:w="0" w:type="auto"/>
                          <w:tblLayout w:type="fixed"/>
                          <w:tblCellMar>
                            <w:left w:w="0" w:type="dxa"/>
                            <w:right w:w="0" w:type="dxa"/>
                          </w:tblCellMar>
                          <w:tblLook w:val="04A0" w:firstRow="1" w:lastRow="0" w:firstColumn="1" w:lastColumn="0" w:noHBand="0" w:noVBand="1"/>
                        </w:tblPr>
                        <w:tblGrid>
                          <w:gridCol w:w="9026"/>
                        </w:tblGrid>
                        <w:tr w:rsidR="00525163" w:rsidRPr="004D6F96" w:rsidTr="005417FE">
                          <w:tc>
                            <w:tcPr>
                              <w:tcW w:w="9026" w:type="dxa"/>
                              <w:tcBorders>
                                <w:top w:val="nil"/>
                                <w:left w:val="nil"/>
                                <w:bottom w:val="nil"/>
                                <w:right w:val="nil"/>
                              </w:tcBorders>
                              <w:tcMar>
                                <w:top w:w="0" w:type="dxa"/>
                                <w:left w:w="0" w:type="dxa"/>
                                <w:bottom w:w="0" w:type="dxa"/>
                                <w:right w:w="240" w:type="dxa"/>
                              </w:tcMar>
                              <w:vAlign w:val="bottom"/>
                              <w:hideMark/>
                            </w:tcPr>
                            <w:tbl>
                              <w:tblPr>
                                <w:tblW w:w="0" w:type="auto"/>
                                <w:tblLayout w:type="fixed"/>
                                <w:tblCellMar>
                                  <w:left w:w="0" w:type="dxa"/>
                                  <w:right w:w="0" w:type="dxa"/>
                                </w:tblCellMar>
                                <w:tblLook w:val="04A0" w:firstRow="1" w:lastRow="0" w:firstColumn="1" w:lastColumn="0" w:noHBand="0" w:noVBand="1"/>
                              </w:tblPr>
                              <w:tblGrid>
                                <w:gridCol w:w="8786"/>
                              </w:tblGrid>
                              <w:tr w:rsidR="00525163" w:rsidRPr="004D6F96" w:rsidTr="005417FE">
                                <w:tc>
                                  <w:tcPr>
                                    <w:tcW w:w="8786" w:type="dxa"/>
                                    <w:tcBorders>
                                      <w:top w:val="nil"/>
                                      <w:left w:val="nil"/>
                                      <w:bottom w:val="nil"/>
                                      <w:right w:val="nil"/>
                                    </w:tcBorders>
                                    <w:vAlign w:val="bottom"/>
                                    <w:hideMark/>
                                  </w:tcPr>
                                  <w:p w:rsidR="00525163" w:rsidRPr="004D6F96" w:rsidRDefault="00525163" w:rsidP="004D6F96">
                                    <w:pPr>
                                      <w:pStyle w:val="ms-rtefontsize-1"/>
                                      <w:spacing w:before="0" w:beforeAutospacing="0" w:after="0" w:afterAutospacing="0"/>
                                      <w:ind w:firstLine="567"/>
                                      <w:jc w:val="both"/>
                                      <w:textAlignment w:val="baseline"/>
                                      <w:rPr>
                                        <w:rFonts w:asciiTheme="minorBidi" w:hAnsiTheme="minorBidi"/>
                                        <w:bdr w:val="none" w:sz="0" w:space="0" w:color="auto" w:frame="1"/>
                                      </w:rPr>
                                    </w:pPr>
                                    <w:r w:rsidRPr="004D6F96">
                                      <w:rPr>
                                        <w:rFonts w:asciiTheme="minorBidi" w:hAnsiTheme="minorBidi"/>
                                        <w:bdr w:val="none" w:sz="0" w:space="0" w:color="auto" w:frame="1"/>
                                      </w:rPr>
                                      <w:t>Bank Indonesia memiliki tujuan untuk mencapai dan memelihara kestabilan nilai rupiah. Tujuan ini sebagaimana tercantum dalam UU No. 3 tahun 2004  pasal 7 tentang Bank Indonesia.</w:t>
                                    </w:r>
                                  </w:p>
                                  <w:p w:rsidR="004D6F96" w:rsidRDefault="00525163" w:rsidP="00C67E92">
                                    <w:pPr>
                                      <w:pStyle w:val="ms-rtefontsize-1"/>
                                      <w:spacing w:before="0" w:beforeAutospacing="0" w:after="0" w:afterAutospacing="0"/>
                                      <w:ind w:firstLine="567"/>
                                      <w:jc w:val="both"/>
                                      <w:textAlignment w:val="baseline"/>
                                      <w:rPr>
                                        <w:rFonts w:asciiTheme="minorBidi" w:hAnsiTheme="minorBidi"/>
                                        <w:bdr w:val="none" w:sz="0" w:space="0" w:color="auto" w:frame="1"/>
                                      </w:rPr>
                                    </w:pPr>
                                    <w:r w:rsidRPr="004D6F96">
                                      <w:rPr>
                                        <w:rFonts w:asciiTheme="minorBidi" w:hAnsiTheme="minorBidi"/>
                                        <w:bdr w:val="none" w:sz="0" w:space="0" w:color="auto" w:frame="1"/>
                                      </w:rPr>
                                      <w:t>Hal yang dimaksud dengan kestabilan nilai rupiah antara lain adalah kestabilan terhadap harga-harga barang dan jasa yang tercermin pada inflasi. Untuk mencapai tujuan tersebut, sejak tahun 2005 Bank Indonesia menerapkan kerangka kebijakan moneter dengan inflasi sebagai sasaran utama kebijakan moneter (</w:t>
                                    </w:r>
                                    <w:r w:rsidRPr="004D6F96">
                                      <w:rPr>
                                        <w:rStyle w:val="Emphasis"/>
                                        <w:rFonts w:asciiTheme="minorBidi" w:hAnsiTheme="minorBidi"/>
                                        <w:bdr w:val="none" w:sz="0" w:space="0" w:color="auto" w:frame="1"/>
                                      </w:rPr>
                                      <w:t>Inflation Targeting Framework</w:t>
                                    </w:r>
                                    <w:r w:rsidRPr="004D6F96">
                                      <w:rPr>
                                        <w:rFonts w:asciiTheme="minorBidi" w:hAnsiTheme="minorBidi"/>
                                        <w:bdr w:val="none" w:sz="0" w:space="0" w:color="auto" w:frame="1"/>
                                      </w:rPr>
                                      <w:t>) dengan menganut sistem nilai tukar yang mengambang (</w:t>
                                    </w:r>
                                    <w:r w:rsidRPr="004D6F96">
                                      <w:rPr>
                                        <w:rStyle w:val="Emphasis"/>
                                        <w:rFonts w:asciiTheme="minorBidi" w:hAnsiTheme="minorBidi"/>
                                        <w:bdr w:val="none" w:sz="0" w:space="0" w:color="auto" w:frame="1"/>
                                      </w:rPr>
                                      <w:t>free floating</w:t>
                                    </w:r>
                                    <w:r w:rsidRPr="004D6F96">
                                      <w:rPr>
                                        <w:rFonts w:asciiTheme="minorBidi" w:hAnsiTheme="minorBidi"/>
                                        <w:bdr w:val="none" w:sz="0" w:space="0" w:color="auto" w:frame="1"/>
                                      </w:rPr>
                                      <w:t>). Peran kestabilan nilai tukar sangat penting dalam mencapai stabilitas harga dan sistem keuangan. Oleh karenanya, Bank Indonesia juga menjalankan kebijakan nilai tukar untuk mengurangi volatilitas nilai tukar yang berlebihan, bukan untuk mengarahkan</w:t>
                                    </w:r>
                                    <w:r w:rsidR="004D6F96">
                                      <w:rPr>
                                        <w:rFonts w:asciiTheme="minorBidi" w:hAnsiTheme="minorBidi"/>
                                        <w:bdr w:val="none" w:sz="0" w:space="0" w:color="auto" w:frame="1"/>
                                      </w:rPr>
                                      <w:t xml:space="preserve"> nilai tukar pada level tertentu.</w:t>
                                    </w:r>
                                  </w:p>
                                  <w:p w:rsidR="005417FE" w:rsidRDefault="005417FE" w:rsidP="00C67E92">
                                    <w:pPr>
                                      <w:pStyle w:val="ms-rtefontsize-1"/>
                                      <w:spacing w:before="0" w:beforeAutospacing="0" w:after="0" w:afterAutospacing="0"/>
                                      <w:ind w:firstLine="567"/>
                                      <w:jc w:val="both"/>
                                      <w:textAlignment w:val="baseline"/>
                                      <w:rPr>
                                        <w:rStyle w:val="Emphasis"/>
                                        <w:rFonts w:asciiTheme="minorBidi" w:hAnsiTheme="minorBidi"/>
                                        <w:bdr w:val="none" w:sz="0" w:space="0" w:color="auto" w:frame="1"/>
                                      </w:rPr>
                                    </w:pPr>
                                  </w:p>
                                  <w:tbl>
                                    <w:tblPr>
                                      <w:tblW w:w="8419" w:type="dxa"/>
                                      <w:tblLayout w:type="fixed"/>
                                      <w:tblCellMar>
                                        <w:left w:w="0" w:type="dxa"/>
                                        <w:right w:w="0" w:type="dxa"/>
                                      </w:tblCellMar>
                                      <w:tblLook w:val="04A0" w:firstRow="1" w:lastRow="0" w:firstColumn="1" w:lastColumn="0" w:noHBand="0" w:noVBand="1"/>
                                    </w:tblPr>
                                    <w:tblGrid>
                                      <w:gridCol w:w="20"/>
                                      <w:gridCol w:w="8399"/>
                                    </w:tblGrid>
                                    <w:tr w:rsidR="005417FE" w:rsidRPr="005417FE" w:rsidTr="00C67E92">
                                      <w:tc>
                                        <w:tcPr>
                                          <w:tcW w:w="20" w:type="dxa"/>
                                          <w:tcBorders>
                                            <w:top w:val="nil"/>
                                            <w:left w:val="nil"/>
                                            <w:bottom w:val="nil"/>
                                            <w:right w:val="nil"/>
                                          </w:tcBorders>
                                          <w:vAlign w:val="bottom"/>
                                          <w:hideMark/>
                                        </w:tcPr>
                                        <w:p w:rsidR="00525163" w:rsidRPr="004D6F96" w:rsidRDefault="00525163" w:rsidP="00C67E92">
                                          <w:pPr>
                                            <w:spacing w:after="0" w:line="240" w:lineRule="auto"/>
                                            <w:ind w:right="-90" w:firstLine="567"/>
                                            <w:rPr>
                                              <w:rFonts w:asciiTheme="minorBidi" w:hAnsiTheme="minorBidi" w:cs="Times New Roman"/>
                                              <w:sz w:val="24"/>
                                              <w:szCs w:val="24"/>
                                            </w:rPr>
                                          </w:pPr>
                                          <w:r w:rsidRPr="004D6F96">
                                            <w:rPr>
                                              <w:rStyle w:val="Emphasis"/>
                                              <w:rFonts w:asciiTheme="minorBidi" w:hAnsiTheme="minorBidi"/>
                                              <w:bdr w:val="none" w:sz="0" w:space="0" w:color="auto" w:frame="1"/>
                                            </w:rPr>
                                            <w:t> </w:t>
                                          </w:r>
                                          <w:r w:rsidR="005417FE">
                                            <w:rPr>
                                              <w:rStyle w:val="Emphasis"/>
                                              <w:rFonts w:asciiTheme="minorBidi" w:hAnsiTheme="minorBidi"/>
                                              <w:bdr w:val="none" w:sz="0" w:space="0" w:color="auto" w:frame="1"/>
                                            </w:rPr>
                                            <w:t>M</w:t>
                                          </w:r>
                                          <w:r w:rsidRPr="004D6F96">
                                            <w:rPr>
                                              <w:rFonts w:asciiTheme="minorBidi" w:hAnsiTheme="minorBidi" w:cs="Times New Roman"/>
                                              <w:noProof/>
                                              <w:color w:val="0072C2"/>
                                              <w:sz w:val="24"/>
                                              <w:szCs w:val="24"/>
                                              <w:bdr w:val="none" w:sz="0" w:space="0" w:color="auto" w:frame="1"/>
                                              <w:lang w:val="en-US"/>
                                            </w:rPr>
                                            <mc:AlternateContent>
                                              <mc:Choice Requires="wps">
                                                <w:drawing>
                                                  <wp:inline distT="0" distB="0" distL="0" distR="0" wp14:anchorId="7AB18180" wp14:editId="06C1FC45">
                                                    <wp:extent cx="302895" cy="302895"/>
                                                    <wp:effectExtent l="0" t="0" r="0" b="0"/>
                                                    <wp:docPr id="7" name="Rectangle 7" descr="https://www.bi.go.id/id/moneter/PublishingImages/tkm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Description: https://www.bi.go.id/id/moneter/PublishingImages/tkm1.jpg" href="https://www.bi.go.id/id/publikasi/kebijakan-moneter/tinjauan"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" o:button="t" filled="f" stroked="f">
                                                    <v:fill o:detectmouseclick="t"/>
                                                    <o:lock v:ext="edit" aspectratio="t"/>
                                                    <w10:anchorlock/>
                                                  </v:rect>
                                                </w:pict>
                                              </mc:Fallback>
                                            </mc:AlternateContent>
                                          </w:r>
                                        </w:p>
                                      </w:tc>
                                      <w:tc>
                                        <w:tcPr>
                                          <w:tcW w:w="8399" w:type="dxa"/>
                                          <w:tcBorders>
                                            <w:top w:val="nil"/>
                                            <w:left w:val="nil"/>
                                            <w:bottom w:val="nil"/>
                                            <w:right w:val="nil"/>
                                          </w:tcBorders>
                                          <w:hideMark/>
                                        </w:tcPr>
                                        <w:p w:rsidR="00525163" w:rsidRPr="00C67E92" w:rsidRDefault="00471C3E" w:rsidP="00C67E92">
                                          <w:pPr>
                                            <w:spacing w:after="0" w:line="240" w:lineRule="auto"/>
                                            <w:jc w:val="both"/>
                                            <w:rPr>
                                              <w:rFonts w:asciiTheme="minorBidi" w:hAnsiTheme="minorBidi" w:cs="Times New Roman"/>
                                              <w:sz w:val="24"/>
                                              <w:szCs w:val="24"/>
                                            </w:rPr>
                                          </w:pPr>
                                          <w:hyperlink r:id="rId9" w:history="1">
                                            <w:r w:rsidR="00525163" w:rsidRPr="00C67E92">
                                              <w:rPr>
                                                <w:rStyle w:val="Hyperlink"/>
                                                <w:rFonts w:asciiTheme="minorBidi" w:hAnsiTheme="minorBidi" w:cs="Times New Roman"/>
                                                <w:color w:val="auto"/>
                                                <w:sz w:val="24"/>
                                                <w:szCs w:val="24"/>
                                                <w:bdr w:val="none" w:sz="0" w:space="0" w:color="auto" w:frame="1"/>
                                              </w:rPr>
                                              <w:t>Tinjauan Kebijakan Moneter</w:t>
                                            </w:r>
                                          </w:hyperlink>
                                        </w:p>
                                        <w:p w:rsidR="00525163" w:rsidRDefault="00525163" w:rsidP="00C67E92">
                                          <w:pPr>
                                            <w:spacing w:after="0" w:line="240" w:lineRule="auto"/>
                                            <w:jc w:val="both"/>
                                            <w:rPr>
                                              <w:rFonts w:asciiTheme="minorBidi" w:hAnsiTheme="minorBidi" w:cs="Times New Roman"/>
                                              <w:sz w:val="24"/>
                                              <w:szCs w:val="24"/>
                                            </w:rPr>
                                          </w:pPr>
                                          <w:r w:rsidRPr="00C67E92">
                                            <w:rPr>
                                              <w:rStyle w:val="ms-rtefontsize-11"/>
                                              <w:rFonts w:asciiTheme="minorBidi" w:hAnsiTheme="minorBidi" w:cs="Times New Roman"/>
                                              <w:sz w:val="24"/>
                                              <w:szCs w:val="24"/>
                                              <w:bdr w:val="none" w:sz="0" w:space="0" w:color="auto" w:frame="1"/>
                                            </w:rPr>
                                            <w:t>memuat hasil evaluasi atas perkembangan terkini mengenai inflasi, nilai tukar dan kondisi moneter selama bulan laporan, serta keputusan respon kebijakan moneter yang ditempuh BI. TKM dipublikasikan secara bulanan setelah RDG pada setiap bulan Febru</w:t>
                                          </w:r>
                                          <w:r w:rsidR="005417FE" w:rsidRPr="00C67E92">
                                            <w:rPr>
                                              <w:rStyle w:val="ms-rtefontsize-11"/>
                                              <w:rFonts w:asciiTheme="minorBidi" w:hAnsiTheme="minorBidi" w:cs="Times New Roman"/>
                                              <w:sz w:val="24"/>
                                              <w:szCs w:val="24"/>
                                              <w:bdr w:val="none" w:sz="0" w:space="0" w:color="auto" w:frame="1"/>
                                            </w:rPr>
                                            <w:t xml:space="preserve">ari, Maret, Mei, Juni, Agustus,V </w:t>
                                          </w:r>
                                          <w:r w:rsidRPr="00C67E92">
                                            <w:rPr>
                                              <w:rStyle w:val="ms-rtefontsize-11"/>
                                              <w:rFonts w:asciiTheme="minorBidi" w:hAnsiTheme="minorBidi" w:cs="Times New Roman"/>
                                              <w:sz w:val="24"/>
                                              <w:szCs w:val="24"/>
                                              <w:bdr w:val="none" w:sz="0" w:space="0" w:color="auto" w:frame="1"/>
                                            </w:rPr>
                                            <w:t>September, November dan Desembe</w:t>
                                          </w:r>
                                          <w:r w:rsidR="00C67E92">
                                            <w:rPr>
                                              <w:rFonts w:asciiTheme="minorBidi" w:hAnsiTheme="minorBidi" w:cs="Times New Roman"/>
                                              <w:sz w:val="24"/>
                                              <w:szCs w:val="24"/>
                                            </w:rPr>
                                            <w:t>r.</w:t>
                                          </w:r>
                                        </w:p>
                                        <w:p w:rsidR="00C67E92" w:rsidRPr="00C67E92" w:rsidRDefault="00C67E92" w:rsidP="00C67E92">
                                          <w:pPr>
                                            <w:spacing w:after="0" w:line="240" w:lineRule="auto"/>
                                            <w:jc w:val="both"/>
                                            <w:rPr>
                                              <w:rFonts w:asciiTheme="minorBidi" w:hAnsiTheme="minorBidi" w:cs="Times New Roman"/>
                                              <w:sz w:val="24"/>
                                              <w:szCs w:val="24"/>
                                            </w:rPr>
                                          </w:pPr>
                                        </w:p>
                                      </w:tc>
                                    </w:tr>
                                    <w:tr w:rsidR="005417FE" w:rsidRPr="005417FE" w:rsidTr="00C67E92">
                                      <w:tc>
                                        <w:tcPr>
                                          <w:tcW w:w="20" w:type="dxa"/>
                                          <w:tcBorders>
                                            <w:top w:val="nil"/>
                                            <w:left w:val="nil"/>
                                            <w:bottom w:val="nil"/>
                                            <w:right w:val="nil"/>
                                          </w:tcBorders>
                                          <w:vAlign w:val="bottom"/>
                                          <w:hideMark/>
                                        </w:tcPr>
                                        <w:p w:rsidR="00525163" w:rsidRPr="004D6F96" w:rsidRDefault="00525163" w:rsidP="00C67E92">
                                          <w:pPr>
                                            <w:spacing w:after="0" w:line="240" w:lineRule="auto"/>
                                            <w:ind w:right="-90" w:firstLine="567"/>
                                            <w:rPr>
                                              <w:rFonts w:asciiTheme="minorBidi" w:hAnsiTheme="minorBidi" w:cs="Times New Roman"/>
                                              <w:sz w:val="24"/>
                                              <w:szCs w:val="24"/>
                                            </w:rPr>
                                          </w:pPr>
                                          <w:r w:rsidRPr="004D6F96">
                                            <w:rPr>
                                              <w:rFonts w:asciiTheme="minorBidi" w:hAnsiTheme="minorBidi" w:cs="Times New Roman"/>
                                              <w:noProof/>
                                              <w:color w:val="0072C2"/>
                                              <w:sz w:val="24"/>
                                              <w:szCs w:val="24"/>
                                              <w:bdr w:val="none" w:sz="0" w:space="0" w:color="auto" w:frame="1"/>
                                              <w:lang w:val="en-US"/>
                                            </w:rPr>
                                            <w:lastRenderedPageBreak/>
                                            <mc:AlternateContent>
                                              <mc:Choice Requires="wps">
                                                <w:drawing>
                                                  <wp:inline distT="0" distB="0" distL="0" distR="0" wp14:anchorId="0C47FB4A" wp14:editId="40800FEA">
                                                    <wp:extent cx="302895" cy="302895"/>
                                                    <wp:effectExtent l="0" t="0" r="0" b="0"/>
                                                    <wp:docPr id="6" name="Rectangle 6" descr="https://www.bi.go.id/id/moneter/PublishingImages/lap_perekonomian.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https://www.bi.go.id/id/moneter/PublishingImages/lap_perekonomian.jpg" href="https://www.bi.go.id/id/publikasi/laporan-tahunan/perekonomian"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" o:button="t" filled="f" stroked="f">
                                                    <v:fill o:detectmouseclick="t"/>
                                                    <o:lock v:ext="edit" aspectratio="t"/>
                                                    <w10:anchorlock/>
                                                  </v:rect>
                                                </w:pict>
                                              </mc:Fallback>
                                            </mc:AlternateContent>
                                          </w:r>
                                        </w:p>
                                      </w:tc>
                                      <w:tc>
                                        <w:tcPr>
                                          <w:tcW w:w="8399" w:type="dxa"/>
                                          <w:tcBorders>
                                            <w:top w:val="nil"/>
                                            <w:left w:val="nil"/>
                                            <w:bottom w:val="nil"/>
                                            <w:right w:val="nil"/>
                                          </w:tcBorders>
                                          <w:hideMark/>
                                        </w:tcPr>
                                        <w:p w:rsidR="00525163" w:rsidRPr="00C67E92" w:rsidRDefault="00471C3E" w:rsidP="00C67E92">
                                          <w:pPr>
                                            <w:spacing w:after="0" w:line="240" w:lineRule="auto"/>
                                            <w:jc w:val="both"/>
                                            <w:rPr>
                                              <w:rFonts w:asciiTheme="minorBidi" w:hAnsiTheme="minorBidi" w:cs="Times New Roman"/>
                                              <w:sz w:val="24"/>
                                              <w:szCs w:val="24"/>
                                            </w:rPr>
                                          </w:pPr>
                                          <w:hyperlink r:id="rId11" w:history="1">
                                            <w:r w:rsidR="00525163" w:rsidRPr="00C67E92">
                                              <w:rPr>
                                                <w:rStyle w:val="Hyperlink"/>
                                                <w:rFonts w:asciiTheme="minorBidi" w:hAnsiTheme="minorBidi" w:cs="Times New Roman"/>
                                                <w:color w:val="auto"/>
                                                <w:sz w:val="24"/>
                                                <w:szCs w:val="24"/>
                                                <w:bdr w:val="none" w:sz="0" w:space="0" w:color="auto" w:frame="1"/>
                                              </w:rPr>
                                              <w:t>Laporan Perekonomian Indonesia</w:t>
                                            </w:r>
                                          </w:hyperlink>
                                        </w:p>
                                        <w:p w:rsidR="00525163" w:rsidRDefault="00525163" w:rsidP="00C67E92">
                                          <w:pPr>
                                            <w:spacing w:after="0" w:line="240" w:lineRule="auto"/>
                                            <w:jc w:val="both"/>
                                            <w:rPr>
                                              <w:rFonts w:asciiTheme="minorBidi" w:hAnsiTheme="minorBidi" w:cs="Times New Roman"/>
                                              <w:sz w:val="24"/>
                                              <w:szCs w:val="24"/>
                                            </w:rPr>
                                          </w:pPr>
                                          <w:r w:rsidRPr="00C67E92">
                                            <w:rPr>
                                              <w:rFonts w:asciiTheme="minorBidi" w:hAnsiTheme="minorBidi" w:cs="Times New Roman"/>
                                              <w:sz w:val="24"/>
                                              <w:szCs w:val="24"/>
                                            </w:rPr>
                                            <w:t xml:space="preserve">merupakan bentuk laporan pelaksanaan tugas dan wewenang BI yang disampaikan kepada DPR dan Pemerintah pada setiap tahun dalam rangka pemenuhan amanat yang digariskan dalam UU No.23/1999 tentang BI sebagaimana telah diubah dengan </w:t>
                                          </w:r>
                                          <w:r w:rsidR="00C67E92">
                                            <w:rPr>
                                              <w:rFonts w:asciiTheme="minorBidi" w:hAnsiTheme="minorBidi" w:cs="Times New Roman"/>
                                              <w:sz w:val="24"/>
                                              <w:szCs w:val="24"/>
                                            </w:rPr>
                                            <w:t>UU No.3/2004.</w:t>
                                          </w:r>
                                        </w:p>
                                        <w:p w:rsidR="00C67E92" w:rsidRPr="00C67E92" w:rsidRDefault="00C67E92" w:rsidP="00C67E92">
                                          <w:pPr>
                                            <w:spacing w:after="0" w:line="240" w:lineRule="auto"/>
                                            <w:jc w:val="both"/>
                                            <w:rPr>
                                              <w:rFonts w:asciiTheme="minorBidi" w:hAnsiTheme="minorBidi" w:cs="Times New Roman"/>
                                              <w:sz w:val="24"/>
                                              <w:szCs w:val="24"/>
                                            </w:rPr>
                                          </w:pPr>
                                        </w:p>
                                      </w:tc>
                                    </w:tr>
                                    <w:tr w:rsidR="005417FE" w:rsidRPr="005417FE" w:rsidTr="00C67E92">
                                      <w:tc>
                                        <w:tcPr>
                                          <w:tcW w:w="20" w:type="dxa"/>
                                          <w:tcBorders>
                                            <w:top w:val="nil"/>
                                            <w:left w:val="nil"/>
                                            <w:bottom w:val="nil"/>
                                            <w:right w:val="nil"/>
                                          </w:tcBorders>
                                          <w:vAlign w:val="bottom"/>
                                          <w:hideMark/>
                                        </w:tcPr>
                                        <w:p w:rsidR="00525163" w:rsidRPr="004D6F96" w:rsidRDefault="00525163" w:rsidP="00C67E92">
                                          <w:pPr>
                                            <w:spacing w:after="0" w:line="240" w:lineRule="auto"/>
                                            <w:ind w:right="-90" w:firstLine="567"/>
                                            <w:rPr>
                                              <w:rFonts w:asciiTheme="minorBidi" w:hAnsiTheme="minorBidi" w:cs="Times New Roman"/>
                                              <w:sz w:val="24"/>
                                              <w:szCs w:val="24"/>
                                            </w:rPr>
                                          </w:pPr>
                                          <w:r w:rsidRPr="004D6F96">
                                            <w:rPr>
                                              <w:rFonts w:asciiTheme="minorBidi" w:hAnsiTheme="minorBidi" w:cs="Times New Roman"/>
                                              <w:noProof/>
                                              <w:color w:val="0072C2"/>
                                              <w:sz w:val="24"/>
                                              <w:szCs w:val="24"/>
                                              <w:bdr w:val="none" w:sz="0" w:space="0" w:color="auto" w:frame="1"/>
                                              <w:lang w:val="en-US"/>
                                            </w:rPr>
                                            <mc:AlternateContent>
                                              <mc:Choice Requires="wps">
                                                <w:drawing>
                                                  <wp:inline distT="0" distB="0" distL="0" distR="0" wp14:anchorId="07BCE9E4" wp14:editId="75657A9C">
                                                    <wp:extent cx="302895" cy="302895"/>
                                                    <wp:effectExtent l="0" t="0" r="0" b="0"/>
                                                    <wp:docPr id="5" name="Rectangle 5" descr="https://www.bi.go.id/id/moneter/PublishingImages/laporan_kpd_dpr.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https://www.bi.go.id/id/moneter/PublishingImages/laporan_kpd_dpr.jpg" href="https://www.bi.go.id/id/publikasi/laporan-dpr"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" o:button="t" filled="f" stroked="f">
                                                    <v:fill o:detectmouseclick="t"/>
                                                    <o:lock v:ext="edit" aspectratio="t"/>
                                                    <w10:anchorlock/>
                                                  </v:rect>
                                                </w:pict>
                                              </mc:Fallback>
                                            </mc:AlternateContent>
                                          </w:r>
                                        </w:p>
                                      </w:tc>
                                      <w:tc>
                                        <w:tcPr>
                                          <w:tcW w:w="8399" w:type="dxa"/>
                                          <w:tcBorders>
                                            <w:top w:val="nil"/>
                                            <w:left w:val="nil"/>
                                            <w:bottom w:val="nil"/>
                                            <w:right w:val="nil"/>
                                          </w:tcBorders>
                                          <w:hideMark/>
                                        </w:tcPr>
                                        <w:p w:rsidR="00525163" w:rsidRPr="00C67E92" w:rsidRDefault="00471C3E" w:rsidP="00C67E92">
                                          <w:pPr>
                                            <w:spacing w:after="0" w:line="240" w:lineRule="auto"/>
                                            <w:jc w:val="both"/>
                                            <w:rPr>
                                              <w:rFonts w:asciiTheme="minorBidi" w:hAnsiTheme="minorBidi" w:cs="Times New Roman"/>
                                              <w:sz w:val="24"/>
                                              <w:szCs w:val="24"/>
                                            </w:rPr>
                                          </w:pPr>
                                          <w:hyperlink r:id="rId13" w:history="1">
                                            <w:r w:rsidR="00525163" w:rsidRPr="00C67E92">
                                              <w:rPr>
                                                <w:rStyle w:val="Hyperlink"/>
                                                <w:rFonts w:asciiTheme="minorBidi" w:hAnsiTheme="minorBidi" w:cs="Times New Roman"/>
                                                <w:color w:val="auto"/>
                                                <w:sz w:val="24"/>
                                                <w:szCs w:val="24"/>
                                                <w:bdr w:val="none" w:sz="0" w:space="0" w:color="auto" w:frame="1"/>
                                              </w:rPr>
                                              <w:t>Laporan kepada DPR-RI</w:t>
                                            </w:r>
                                          </w:hyperlink>
                                        </w:p>
                                        <w:p w:rsidR="00525163" w:rsidRDefault="00525163" w:rsidP="00C67E92">
                                          <w:pPr>
                                            <w:spacing w:after="0" w:line="240" w:lineRule="auto"/>
                                            <w:jc w:val="both"/>
                                            <w:rPr>
                                              <w:rFonts w:asciiTheme="minorBidi" w:hAnsiTheme="minorBidi" w:cs="Times New Roman"/>
                                              <w:sz w:val="24"/>
                                              <w:szCs w:val="24"/>
                                            </w:rPr>
                                          </w:pPr>
                                          <w:r w:rsidRPr="00C67E92">
                                            <w:rPr>
                                              <w:rFonts w:asciiTheme="minorBidi" w:hAnsiTheme="minorBidi" w:cs="Times New Roman"/>
                                              <w:sz w:val="24"/>
                                              <w:szCs w:val="24"/>
                                            </w:rPr>
                                            <w:t>disampaikan setiap triwulannya, memuat hasil evaluasi perekonomian, kebijakan moneter, perbankan, sistem pembayaran dan manajemen intern BI.</w:t>
                                          </w:r>
                                        </w:p>
                                        <w:p w:rsidR="00C67E92" w:rsidRPr="00C67E92" w:rsidRDefault="00C67E92" w:rsidP="00C67E92">
                                          <w:pPr>
                                            <w:spacing w:after="0" w:line="240" w:lineRule="auto"/>
                                            <w:jc w:val="both"/>
                                            <w:rPr>
                                              <w:rFonts w:asciiTheme="minorBidi" w:hAnsiTheme="minorBidi" w:cs="Times New Roman"/>
                                              <w:sz w:val="24"/>
                                              <w:szCs w:val="24"/>
                                            </w:rPr>
                                          </w:pPr>
                                        </w:p>
                                      </w:tc>
                                    </w:tr>
                                    <w:tr w:rsidR="005417FE" w:rsidRPr="005417FE" w:rsidTr="00C67E92">
                                      <w:tc>
                                        <w:tcPr>
                                          <w:tcW w:w="20" w:type="dxa"/>
                                          <w:tcBorders>
                                            <w:top w:val="nil"/>
                                            <w:left w:val="nil"/>
                                            <w:bottom w:val="nil"/>
                                            <w:right w:val="nil"/>
                                          </w:tcBorders>
                                          <w:vAlign w:val="bottom"/>
                                          <w:hideMark/>
                                        </w:tcPr>
                                        <w:p w:rsidR="00525163" w:rsidRPr="004D6F96" w:rsidRDefault="00525163" w:rsidP="00C67E92">
                                          <w:pPr>
                                            <w:spacing w:after="0" w:line="240" w:lineRule="auto"/>
                                            <w:ind w:right="-90" w:firstLine="567"/>
                                            <w:rPr>
                                              <w:rFonts w:asciiTheme="minorBidi" w:hAnsiTheme="minorBidi" w:cs="Times New Roman"/>
                                              <w:sz w:val="24"/>
                                              <w:szCs w:val="24"/>
                                            </w:rPr>
                                          </w:pPr>
                                          <w:r w:rsidRPr="004D6F96">
                                            <w:rPr>
                                              <w:rFonts w:asciiTheme="minorBidi" w:hAnsiTheme="minorBidi" w:cs="Times New Roman"/>
                                              <w:noProof/>
                                              <w:color w:val="0072C2"/>
                                              <w:sz w:val="24"/>
                                              <w:szCs w:val="24"/>
                                              <w:bdr w:val="none" w:sz="0" w:space="0" w:color="auto" w:frame="1"/>
                                              <w:lang w:val="en-US"/>
                                            </w:rPr>
                                            <mc:AlternateContent>
                                              <mc:Choice Requires="wps">
                                                <w:drawing>
                                                  <wp:inline distT="0" distB="0" distL="0" distR="0" wp14:anchorId="57717B11" wp14:editId="378B28F2">
                                                    <wp:extent cx="302895" cy="302895"/>
                                                    <wp:effectExtent l="0" t="0" r="0" b="0"/>
                                                    <wp:docPr id="4" name="Rectangle 4" descr="https://www.bi.go.id/id/moneter/PublishingImages/data_proyeksi.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https://www.bi.go.id/id/moneter/PublishingImages/data_proyeksi.jpg" href="https://www.bi.go.id/id/moneter/operasi/proyeksi-likuiditas-harian"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" o:button="t" filled="f" stroked="f">
                                                    <v:fill o:detectmouseclick="t"/>
                                                    <o:lock v:ext="edit" aspectratio="t"/>
                                                    <w10:anchorlock/>
                                                  </v:rect>
                                                </w:pict>
                                              </mc:Fallback>
                                            </mc:AlternateContent>
                                          </w:r>
                                        </w:p>
                                      </w:tc>
                                      <w:tc>
                                        <w:tcPr>
                                          <w:tcW w:w="8399" w:type="dxa"/>
                                          <w:tcBorders>
                                            <w:top w:val="nil"/>
                                            <w:left w:val="nil"/>
                                            <w:bottom w:val="nil"/>
                                            <w:right w:val="nil"/>
                                          </w:tcBorders>
                                          <w:hideMark/>
                                        </w:tcPr>
                                        <w:p w:rsidR="00525163" w:rsidRPr="00C67E92" w:rsidRDefault="00471C3E" w:rsidP="00C67E92">
                                          <w:pPr>
                                            <w:spacing w:after="0" w:line="240" w:lineRule="auto"/>
                                            <w:jc w:val="both"/>
                                            <w:rPr>
                                              <w:rFonts w:asciiTheme="minorBidi" w:hAnsiTheme="minorBidi" w:cs="Times New Roman"/>
                                              <w:sz w:val="24"/>
                                              <w:szCs w:val="24"/>
                                            </w:rPr>
                                          </w:pPr>
                                          <w:hyperlink r:id="rId15" w:history="1">
                                            <w:r w:rsidR="00525163" w:rsidRPr="00C67E92">
                                              <w:rPr>
                                                <w:rStyle w:val="Hyperlink"/>
                                                <w:rFonts w:asciiTheme="minorBidi" w:hAnsiTheme="minorBidi" w:cs="Times New Roman"/>
                                                <w:color w:val="auto"/>
                                                <w:sz w:val="24"/>
                                                <w:szCs w:val="24"/>
                                                <w:bdr w:val="none" w:sz="0" w:space="0" w:color="auto" w:frame="1"/>
                                              </w:rPr>
                                              <w:t>Data Proyeksi Likuiditas Harian</w:t>
                                            </w:r>
                                          </w:hyperlink>
                                        </w:p>
                                        <w:p w:rsidR="00525163" w:rsidRPr="00C67E92" w:rsidRDefault="00525163" w:rsidP="00C67E92">
                                          <w:pPr>
                                            <w:spacing w:after="0" w:line="240" w:lineRule="auto"/>
                                            <w:jc w:val="both"/>
                                            <w:rPr>
                                              <w:rFonts w:asciiTheme="minorBidi" w:hAnsiTheme="minorBidi" w:cs="Times New Roman"/>
                                              <w:sz w:val="24"/>
                                              <w:szCs w:val="24"/>
                                            </w:rPr>
                                          </w:pPr>
                                          <w:r w:rsidRPr="00C67E92">
                                            <w:rPr>
                                              <w:rFonts w:asciiTheme="minorBidi" w:hAnsiTheme="minorBidi" w:cs="Times New Roman"/>
                                              <w:sz w:val="24"/>
                                              <w:szCs w:val="24"/>
                                            </w:rPr>
                                            <w:t>diumumkan kepada pelaku pasar dan masyarakat sebanyak dua kali setiap harinya melalui website BI, BI-SSSS dan sarana lainnya, untuk membantu pengelolaan kebutuhan likuiditasnya dan meningkatkan efektifitas pelaksanaan Operasi Pasar Terbuka (OPT).</w:t>
                                          </w:r>
                                        </w:p>
                                      </w:tc>
                                    </w:tr>
                                  </w:tbl>
                                  <w:p w:rsidR="00525163" w:rsidRPr="004D6F96" w:rsidRDefault="00525163" w:rsidP="004D6F96">
                                    <w:pPr>
                                      <w:spacing w:after="0" w:line="240" w:lineRule="auto"/>
                                      <w:rPr>
                                        <w:rFonts w:asciiTheme="minorBidi" w:hAnsiTheme="minorBidi" w:cs="Times New Roman"/>
                                        <w:sz w:val="24"/>
                                        <w:szCs w:val="24"/>
                                        <w:bdr w:val="none" w:sz="0" w:space="0" w:color="auto" w:frame="1"/>
                                      </w:rPr>
                                    </w:pPr>
                                  </w:p>
                                </w:tc>
                              </w:tr>
                            </w:tbl>
                            <w:p w:rsidR="00525163" w:rsidRPr="004D6F96" w:rsidRDefault="00525163" w:rsidP="004D6F96">
                              <w:pPr>
                                <w:spacing w:after="0" w:line="240" w:lineRule="auto"/>
                                <w:rPr>
                                  <w:rFonts w:asciiTheme="minorBidi" w:hAnsiTheme="minorBidi" w:cs="Times New Roman"/>
                                  <w:sz w:val="24"/>
                                  <w:szCs w:val="24"/>
                                </w:rPr>
                              </w:pPr>
                            </w:p>
                          </w:tc>
                        </w:tr>
                      </w:tbl>
                      <w:p w:rsidR="00525163" w:rsidRPr="004D6F96" w:rsidRDefault="00525163" w:rsidP="004D6F96">
                        <w:pPr>
                          <w:spacing w:after="0" w:line="240" w:lineRule="auto"/>
                          <w:textAlignment w:val="baseline"/>
                          <w:rPr>
                            <w:rFonts w:asciiTheme="minorBidi" w:hAnsiTheme="minorBidi" w:cs="Times New Roman"/>
                            <w:sz w:val="24"/>
                            <w:szCs w:val="24"/>
                          </w:rPr>
                        </w:pPr>
                      </w:p>
                    </w:tc>
                  </w:tr>
                </w:tbl>
                <w:p w:rsidR="00525163" w:rsidRPr="004D6F96" w:rsidRDefault="00525163" w:rsidP="004D6F96">
                  <w:pPr>
                    <w:spacing w:after="0" w:line="240" w:lineRule="auto"/>
                    <w:rPr>
                      <w:rFonts w:asciiTheme="minorBidi" w:hAnsiTheme="minorBidi" w:cs="Times New Roman"/>
                      <w:sz w:val="24"/>
                      <w:szCs w:val="24"/>
                    </w:rPr>
                  </w:pPr>
                </w:p>
              </w:tc>
            </w:tr>
          </w:tbl>
          <w:p w:rsidR="00525163" w:rsidRPr="004D6F96" w:rsidRDefault="00525163" w:rsidP="004D6F96">
            <w:pPr>
              <w:spacing w:after="0" w:line="240" w:lineRule="auto"/>
              <w:rPr>
                <w:rFonts w:asciiTheme="minorBidi" w:hAnsiTheme="minorBidi" w:cs="Times New Roman"/>
                <w:sz w:val="24"/>
                <w:szCs w:val="24"/>
              </w:rPr>
            </w:pPr>
          </w:p>
        </w:tc>
      </w:tr>
    </w:tbl>
    <w:p w:rsidR="005417FE" w:rsidRDefault="005417FE" w:rsidP="004D6F96">
      <w:pPr>
        <w:shd w:val="clear" w:color="auto" w:fill="FFFFFF"/>
        <w:spacing w:after="0" w:line="240" w:lineRule="auto"/>
        <w:textAlignment w:val="baseline"/>
        <w:outlineLvl w:val="0"/>
        <w:rPr>
          <w:rFonts w:asciiTheme="minorBidi" w:eastAsia="Times New Roman" w:hAnsiTheme="minorBidi" w:cs="Times New Roman"/>
          <w:b/>
          <w:bCs/>
          <w:color w:val="00539F"/>
          <w:kern w:val="36"/>
          <w:sz w:val="24"/>
          <w:szCs w:val="24"/>
          <w:lang w:eastAsia="id-ID"/>
        </w:rPr>
      </w:pPr>
    </w:p>
    <w:tbl>
      <w:tblPr>
        <w:tblW w:w="5000" w:type="pct"/>
        <w:tblCellMar>
          <w:left w:w="0" w:type="dxa"/>
          <w:right w:w="0" w:type="dxa"/>
        </w:tblCellMar>
        <w:tblLook w:val="04A0" w:firstRow="1" w:lastRow="0" w:firstColumn="1" w:lastColumn="0" w:noHBand="0" w:noVBand="1"/>
      </w:tblPr>
      <w:tblGrid>
        <w:gridCol w:w="9026"/>
      </w:tblGrid>
      <w:tr w:rsidR="00B77E6C" w:rsidRPr="004D6F96" w:rsidTr="00B77E6C">
        <w:tc>
          <w:tcPr>
            <w:tcW w:w="5000" w:type="pct"/>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B77E6C" w:rsidRPr="004D6F96">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B77E6C" w:rsidRPr="004D6F96">
                    <w:tc>
                      <w:tcPr>
                        <w:tcW w:w="0" w:type="auto"/>
                        <w:tcBorders>
                          <w:top w:val="nil"/>
                          <w:left w:val="nil"/>
                          <w:bottom w:val="nil"/>
                          <w:right w:val="nil"/>
                        </w:tcBorders>
                        <w:vAlign w:val="bottom"/>
                        <w:hideMark/>
                      </w:tcPr>
                      <w:p w:rsidR="00B77E6C" w:rsidRPr="004D6F96" w:rsidRDefault="00B77E6C" w:rsidP="004D6F96">
                        <w:pPr>
                          <w:spacing w:after="0" w:line="240" w:lineRule="auto"/>
                          <w:textAlignment w:val="baseline"/>
                          <w:rPr>
                            <w:rFonts w:asciiTheme="minorBidi" w:eastAsia="Times New Roman" w:hAnsiTheme="minorBidi" w:cs="Times New Roman"/>
                            <w:sz w:val="24"/>
                            <w:szCs w:val="24"/>
                            <w:lang w:eastAsia="id-ID"/>
                          </w:rPr>
                        </w:pPr>
                        <w:r w:rsidRPr="004D6F96">
                          <w:rPr>
                            <w:rFonts w:asciiTheme="minorBidi" w:eastAsia="Times New Roman" w:hAnsiTheme="minorBidi" w:cs="Times New Roman"/>
                            <w:b/>
                            <w:bCs/>
                            <w:sz w:val="24"/>
                            <w:szCs w:val="24"/>
                            <w:bdr w:val="none" w:sz="0" w:space="0" w:color="auto" w:frame="1"/>
                            <w:lang w:eastAsia="id-ID"/>
                          </w:rPr>
                          <w:t>Tujuan Kebijakan Moneter Bank Indonesia</w:t>
                        </w:r>
                      </w:p>
                      <w:p w:rsidR="00B77E6C" w:rsidRPr="004D6F96" w:rsidRDefault="00B77E6C" w:rsidP="00C67E92">
                        <w:pPr>
                          <w:spacing w:after="0" w:line="240" w:lineRule="auto"/>
                          <w:ind w:firstLine="284"/>
                          <w:jc w:val="both"/>
                          <w:textAlignment w:val="baseline"/>
                          <w:rPr>
                            <w:rFonts w:asciiTheme="minorBidi" w:eastAsia="Times New Roman" w:hAnsiTheme="minorBidi" w:cs="Times New Roman"/>
                            <w:sz w:val="24"/>
                            <w:szCs w:val="24"/>
                            <w:lang w:eastAsia="id-ID"/>
                          </w:rPr>
                        </w:pPr>
                        <w:r w:rsidRPr="004D6F96">
                          <w:rPr>
                            <w:rFonts w:asciiTheme="minorBidi" w:eastAsia="Times New Roman" w:hAnsiTheme="minorBidi" w:cs="Times New Roman"/>
                            <w:sz w:val="24"/>
                            <w:szCs w:val="24"/>
                            <w:lang w:eastAsia="id-ID"/>
                          </w:rPr>
                          <w:t>Bank Indonesia memiliki tujuan untuk mencapai dan memelihara kestabilan nilai rupiah. Tujuan ini sebagaimana tercantum dalam UU No. 23 Tahun 1999 tentang Bank Indonesia, yang sebagaimana diubah melalui UU No. 3 Tahun 2004 dan UU No. 6 Tahun 2009 pada pasal 7. Kestabilan rupiah yang dimaksud mempunyai dua dimensi. Dimensi pertama kestabilan nilai rupiah adalah kestabilan terhadap harga-harga barang dan jasa yang tercermin dari perkembangan laju inflasi. Sementara itu, dimensi kedua terkait dengan perkembangan nilai tukar rupiah terhadap mata uang negara lain.</w:t>
                        </w:r>
                      </w:p>
                      <w:p w:rsidR="00B77E6C" w:rsidRPr="004D6F96" w:rsidRDefault="00B77E6C" w:rsidP="00C67E92">
                        <w:pPr>
                          <w:spacing w:after="0" w:line="240" w:lineRule="auto"/>
                          <w:ind w:firstLine="284"/>
                          <w:jc w:val="both"/>
                          <w:textAlignment w:val="baseline"/>
                          <w:rPr>
                            <w:rFonts w:asciiTheme="minorBidi" w:eastAsia="Times New Roman" w:hAnsiTheme="minorBidi" w:cs="Times New Roman"/>
                            <w:sz w:val="24"/>
                            <w:szCs w:val="24"/>
                            <w:lang w:eastAsia="id-ID"/>
                          </w:rPr>
                        </w:pPr>
                        <w:r w:rsidRPr="004D6F96">
                          <w:rPr>
                            <w:rFonts w:asciiTheme="minorBidi" w:eastAsia="Times New Roman" w:hAnsiTheme="minorBidi" w:cs="Times New Roman"/>
                            <w:sz w:val="24"/>
                            <w:szCs w:val="24"/>
                            <w:lang w:eastAsia="id-ID"/>
                          </w:rPr>
                          <w:t>Dalam konteks perkembangan nilai rupiah terhadap mata uang negara lain, Indonesia menganut sistem nilai tukar mengambang (free floating). Peran kestabilan nilai tukar sangat penting dalam mencapai stabilitas harga dan sistem keuangan. Oleh karena itu, Bank Indonesia juga menjalankan kebijakan untuk menjaga kestabilan nilai tukar agar sesuai dengan nilai fundamentalnya dengan tetap menjaga bekerjanya mekanisme pasar.</w:t>
                        </w:r>
                      </w:p>
                      <w:p w:rsidR="00B77E6C" w:rsidRPr="004D6F96" w:rsidRDefault="00B77E6C" w:rsidP="00C67E92">
                        <w:pPr>
                          <w:spacing w:after="0" w:line="240" w:lineRule="auto"/>
                          <w:ind w:firstLine="284"/>
                          <w:jc w:val="both"/>
                          <w:textAlignment w:val="baseline"/>
                          <w:rPr>
                            <w:rFonts w:asciiTheme="minorBidi" w:eastAsia="Times New Roman" w:hAnsiTheme="minorBidi" w:cs="Times New Roman"/>
                            <w:sz w:val="24"/>
                            <w:szCs w:val="24"/>
                            <w:lang w:eastAsia="id-ID"/>
                          </w:rPr>
                        </w:pPr>
                        <w:r w:rsidRPr="004D6F96">
                          <w:rPr>
                            <w:rFonts w:asciiTheme="minorBidi" w:eastAsia="Times New Roman" w:hAnsiTheme="minorBidi" w:cs="Times New Roman"/>
                            <w:sz w:val="24"/>
                            <w:szCs w:val="24"/>
                            <w:lang w:eastAsia="id-ID"/>
                          </w:rPr>
                          <w:t>Dalam upaya mencapai tujuan rersebut, Bank Indonesia sejak 1 Juli 2005 menerapkan kerangka kebijakan moneter Inflation Targeting Framework (ITF). Kerangka kebijakan tersebut dipandang sesuai dengan mandat dan aspek kelembagaan yang diamanatkan oleh Undang-Undang. Dalam kerangka ini, inflasi merupakan sasaran yang diutamakan (overriding objective). Bank Indonesia secara konsisten terus melakukan berbagai penyempurnaan kerangka kebijakan moneter, sesuai dengan perubahan dinamika dan tantangan perekonomian yang terjadi, guna memperkuat efektivitasnya. </w:t>
                        </w:r>
                      </w:p>
                    </w:tc>
                  </w:tr>
                </w:tbl>
                <w:p w:rsidR="00B77E6C" w:rsidRPr="004D6F96" w:rsidRDefault="00B77E6C" w:rsidP="004D6F96">
                  <w:pPr>
                    <w:spacing w:after="0" w:line="240" w:lineRule="auto"/>
                    <w:rPr>
                      <w:rFonts w:asciiTheme="minorBidi" w:eastAsia="Times New Roman" w:hAnsiTheme="minorBidi" w:cs="Times New Roman"/>
                      <w:sz w:val="24"/>
                      <w:szCs w:val="24"/>
                      <w:lang w:eastAsia="id-ID"/>
                    </w:rPr>
                  </w:pPr>
                </w:p>
              </w:tc>
            </w:tr>
          </w:tbl>
          <w:p w:rsidR="00B77E6C" w:rsidRPr="004D6F96" w:rsidRDefault="00B77E6C" w:rsidP="004D6F96">
            <w:pPr>
              <w:spacing w:after="0" w:line="240" w:lineRule="auto"/>
              <w:rPr>
                <w:rFonts w:asciiTheme="minorBidi" w:eastAsia="Times New Roman" w:hAnsiTheme="minorBidi" w:cs="Times New Roman"/>
                <w:sz w:val="24"/>
                <w:szCs w:val="24"/>
                <w:lang w:eastAsia="id-ID"/>
              </w:rPr>
            </w:pPr>
          </w:p>
        </w:tc>
      </w:tr>
    </w:tbl>
    <w:p w:rsidR="00B77E6C" w:rsidRPr="004D6F96" w:rsidRDefault="00B77E6C" w:rsidP="004D6F96">
      <w:pPr>
        <w:shd w:val="clear" w:color="auto" w:fill="FFFFFF"/>
        <w:spacing w:after="0" w:line="240" w:lineRule="auto"/>
        <w:textAlignment w:val="baseline"/>
        <w:rPr>
          <w:rFonts w:asciiTheme="minorBidi" w:eastAsia="Times New Roman" w:hAnsiTheme="minorBidi" w:cs="Times New Roman"/>
          <w:color w:val="333333"/>
          <w:sz w:val="24"/>
          <w:szCs w:val="24"/>
          <w:lang w:eastAsia="id-ID"/>
        </w:rPr>
      </w:pPr>
    </w:p>
    <w:tbl>
      <w:tblPr>
        <w:tblW w:w="5000" w:type="pct"/>
        <w:tblCellMar>
          <w:left w:w="0" w:type="dxa"/>
          <w:right w:w="0" w:type="dxa"/>
        </w:tblCellMar>
        <w:tblLook w:val="04A0" w:firstRow="1" w:lastRow="0" w:firstColumn="1" w:lastColumn="0" w:noHBand="0" w:noVBand="1"/>
      </w:tblPr>
      <w:tblGrid>
        <w:gridCol w:w="9026"/>
      </w:tblGrid>
      <w:tr w:rsidR="00B77E6C" w:rsidRPr="004D6F96" w:rsidTr="00B77E6C">
        <w:tc>
          <w:tcPr>
            <w:tcW w:w="5000" w:type="pct"/>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B77E6C" w:rsidRPr="004D6F96">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B77E6C" w:rsidRPr="004D6F96">
                    <w:tc>
                      <w:tcPr>
                        <w:tcW w:w="0" w:type="auto"/>
                        <w:tcBorders>
                          <w:top w:val="nil"/>
                          <w:left w:val="nil"/>
                          <w:bottom w:val="nil"/>
                          <w:right w:val="nil"/>
                        </w:tcBorders>
                        <w:vAlign w:val="bottom"/>
                        <w:hideMark/>
                      </w:tcPr>
                      <w:p w:rsidR="00B77E6C" w:rsidRPr="004D6F96" w:rsidRDefault="00B77E6C" w:rsidP="004D6F96">
                        <w:pPr>
                          <w:spacing w:after="0" w:line="240" w:lineRule="auto"/>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b/>
                            <w:bCs/>
                            <w:sz w:val="24"/>
                            <w:szCs w:val="24"/>
                            <w:bdr w:val="none" w:sz="0" w:space="0" w:color="auto" w:frame="1"/>
                            <w:lang w:eastAsia="id-ID"/>
                          </w:rPr>
                          <w:t>Kerangka Kebijakan Moneter</w:t>
                        </w:r>
                      </w:p>
                      <w:p w:rsidR="00B77E6C" w:rsidRPr="004D6F96" w:rsidRDefault="00B77E6C" w:rsidP="00C67E92">
                        <w:pPr>
                          <w:spacing w:after="0" w:line="240" w:lineRule="auto"/>
                          <w:ind w:firstLine="567"/>
                          <w:jc w:val="both"/>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sz w:val="24"/>
                            <w:szCs w:val="24"/>
                            <w:bdr w:val="none" w:sz="0" w:space="0" w:color="auto" w:frame="1"/>
                            <w:lang w:eastAsia="id-ID"/>
                          </w:rPr>
                          <w:t>Dalam melaksanakan kebijakan moneter, Bank Indonesia menganut kerangka kerja yang dinamakan </w:t>
                        </w:r>
                        <w:r w:rsidRPr="004D6F96">
                          <w:rPr>
                            <w:rFonts w:asciiTheme="minorBidi" w:eastAsia="Times New Roman" w:hAnsiTheme="minorBidi" w:cs="Times New Roman"/>
                            <w:i/>
                            <w:iCs/>
                            <w:sz w:val="24"/>
                            <w:szCs w:val="24"/>
                            <w:bdr w:val="none" w:sz="0" w:space="0" w:color="auto" w:frame="1"/>
                            <w:lang w:eastAsia="id-ID"/>
                          </w:rPr>
                          <w:t>Inflation Targeting Framework</w:t>
                        </w:r>
                        <w:r w:rsidRPr="004D6F96">
                          <w:rPr>
                            <w:rFonts w:asciiTheme="minorBidi" w:eastAsia="Times New Roman" w:hAnsiTheme="minorBidi" w:cs="Times New Roman"/>
                            <w:sz w:val="24"/>
                            <w:szCs w:val="24"/>
                            <w:bdr w:val="none" w:sz="0" w:space="0" w:color="auto" w:frame="1"/>
                            <w:lang w:eastAsia="id-ID"/>
                          </w:rPr>
                          <w:t> (ITF) dengan penggunaan suku bunga sebagai sasaran operasional. Kerangka kerja ini diterapkan secara formal sejak 1 Juli 2005, setelah sebelumnya menggunakan kebijakan moneter yang menerapkan uang primer (</w:t>
                        </w:r>
                        <w:r w:rsidRPr="004D6F96">
                          <w:rPr>
                            <w:rFonts w:asciiTheme="minorBidi" w:eastAsia="Times New Roman" w:hAnsiTheme="minorBidi" w:cs="Times New Roman"/>
                            <w:i/>
                            <w:iCs/>
                            <w:sz w:val="24"/>
                            <w:szCs w:val="24"/>
                            <w:bdr w:val="none" w:sz="0" w:space="0" w:color="auto" w:frame="1"/>
                            <w:lang w:eastAsia="id-ID"/>
                          </w:rPr>
                          <w:t>base money</w:t>
                        </w:r>
                        <w:r w:rsidRPr="004D6F96">
                          <w:rPr>
                            <w:rFonts w:asciiTheme="minorBidi" w:eastAsia="Times New Roman" w:hAnsiTheme="minorBidi" w:cs="Times New Roman"/>
                            <w:sz w:val="24"/>
                            <w:szCs w:val="24"/>
                            <w:bdr w:val="none" w:sz="0" w:space="0" w:color="auto" w:frame="1"/>
                            <w:lang w:eastAsia="id-ID"/>
                          </w:rPr>
                          <w:t>) sebagai sasaran kebijakan moneter.</w:t>
                        </w:r>
                      </w:p>
                      <w:p w:rsidR="00B77E6C" w:rsidRPr="004D6F96" w:rsidRDefault="00B77E6C" w:rsidP="00C67E92">
                        <w:pPr>
                          <w:spacing w:after="0" w:line="240" w:lineRule="auto"/>
                          <w:ind w:firstLine="567"/>
                          <w:jc w:val="both"/>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sz w:val="24"/>
                            <w:szCs w:val="24"/>
                            <w:bdr w:val="none" w:sz="0" w:space="0" w:color="auto" w:frame="1"/>
                            <w:lang w:eastAsia="id-ID"/>
                          </w:rPr>
                          <w:t xml:space="preserve">Berpijak pada pengalaman krisis keuangan global 2008/2009, salah satu pelajaran penting yang mengemuka adalah diperlukannya fleksibilitas yang cukup bagi bank sentral untuk merespons perkembangan ekonomi yang semakin kompleks dan peran sektor keuangan yang semakin kuat dalam memengaruhi stabilitas </w:t>
                        </w:r>
                        <w:r w:rsidRPr="004D6F96">
                          <w:rPr>
                            <w:rFonts w:asciiTheme="minorBidi" w:eastAsia="Times New Roman" w:hAnsiTheme="minorBidi" w:cs="Times New Roman"/>
                            <w:sz w:val="24"/>
                            <w:szCs w:val="24"/>
                            <w:bdr w:val="none" w:sz="0" w:space="0" w:color="auto" w:frame="1"/>
                            <w:lang w:eastAsia="id-ID"/>
                          </w:rPr>
                          <w:lastRenderedPageBreak/>
                          <w:t>ekonomi makro. Berdasarkan perkembangan tersebut, Bank Indonesia memperkuat kerangka ITF menjadi </w:t>
                        </w:r>
                        <w:r w:rsidRPr="004D6F96">
                          <w:rPr>
                            <w:rFonts w:asciiTheme="minorBidi" w:eastAsia="Times New Roman" w:hAnsiTheme="minorBidi" w:cs="Times New Roman"/>
                            <w:i/>
                            <w:iCs/>
                            <w:sz w:val="24"/>
                            <w:szCs w:val="24"/>
                            <w:bdr w:val="none" w:sz="0" w:space="0" w:color="auto" w:frame="1"/>
                            <w:lang w:eastAsia="id-ID"/>
                          </w:rPr>
                          <w:t>Flexible ITF</w:t>
                        </w:r>
                        <w:r w:rsidRPr="004D6F96">
                          <w:rPr>
                            <w:rFonts w:asciiTheme="minorBidi" w:eastAsia="Times New Roman" w:hAnsiTheme="minorBidi" w:cs="Times New Roman"/>
                            <w:sz w:val="24"/>
                            <w:szCs w:val="24"/>
                            <w:bdr w:val="none" w:sz="0" w:space="0" w:color="auto" w:frame="1"/>
                            <w:lang w:eastAsia="id-ID"/>
                          </w:rPr>
                          <w:t>.</w:t>
                        </w:r>
                      </w:p>
                      <w:p w:rsidR="00B77E6C" w:rsidRPr="004D6F96" w:rsidRDefault="00B77E6C" w:rsidP="00C67E92">
                        <w:pPr>
                          <w:spacing w:after="0" w:line="240" w:lineRule="auto"/>
                          <w:ind w:firstLine="567"/>
                          <w:jc w:val="both"/>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sz w:val="24"/>
                            <w:szCs w:val="24"/>
                            <w:bdr w:val="none" w:sz="0" w:space="0" w:color="auto" w:frame="1"/>
                            <w:lang w:eastAsia="id-ID"/>
                          </w:rPr>
                          <w:br/>
                        </w:r>
                        <w:r w:rsidRPr="004D6F96">
                          <w:rPr>
                            <w:rFonts w:asciiTheme="minorBidi" w:eastAsia="Times New Roman" w:hAnsiTheme="minorBidi" w:cs="Times New Roman"/>
                            <w:i/>
                            <w:iCs/>
                            <w:sz w:val="24"/>
                            <w:szCs w:val="24"/>
                            <w:bdr w:val="none" w:sz="0" w:space="0" w:color="auto" w:frame="1"/>
                            <w:lang w:eastAsia="id-ID"/>
                          </w:rPr>
                          <w:t>Flexible ITF</w:t>
                        </w:r>
                        <w:r w:rsidRPr="004D6F96">
                          <w:rPr>
                            <w:rFonts w:asciiTheme="minorBidi" w:eastAsia="Times New Roman" w:hAnsiTheme="minorBidi" w:cs="Times New Roman"/>
                            <w:sz w:val="24"/>
                            <w:szCs w:val="24"/>
                            <w:bdr w:val="none" w:sz="0" w:space="0" w:color="auto" w:frame="1"/>
                            <w:lang w:eastAsia="id-ID"/>
                          </w:rPr>
                          <w:t> dibangun dengan tetap berpijak pada elemen-elemen penting ITF yang telah terbangun. Elemen-elemen pokok ITF termasuk pengumuman sasaran inflasi kepada publik, kebijakan moneter yang ditempuh secara </w:t>
                        </w:r>
                        <w:r w:rsidRPr="004D6F96">
                          <w:rPr>
                            <w:rFonts w:asciiTheme="minorBidi" w:eastAsia="Times New Roman" w:hAnsiTheme="minorBidi" w:cs="Times New Roman"/>
                            <w:i/>
                            <w:iCs/>
                            <w:sz w:val="24"/>
                            <w:szCs w:val="24"/>
                            <w:bdr w:val="none" w:sz="0" w:space="0" w:color="auto" w:frame="1"/>
                            <w:lang w:eastAsia="id-ID"/>
                          </w:rPr>
                          <w:t>forward looking</w:t>
                        </w:r>
                        <w:r w:rsidRPr="004D6F96">
                          <w:rPr>
                            <w:rFonts w:asciiTheme="minorBidi" w:eastAsia="Times New Roman" w:hAnsiTheme="minorBidi" w:cs="Times New Roman"/>
                            <w:sz w:val="24"/>
                            <w:szCs w:val="24"/>
                            <w:bdr w:val="none" w:sz="0" w:space="0" w:color="auto" w:frame="1"/>
                            <w:lang w:eastAsia="id-ID"/>
                          </w:rPr>
                          <w:t>, dan akuntabilitas kebijakan kepada publik tetap menjadi bagian </w:t>
                        </w:r>
                        <w:r w:rsidRPr="004D6F96">
                          <w:rPr>
                            <w:rFonts w:asciiTheme="minorBidi" w:eastAsia="Times New Roman" w:hAnsiTheme="minorBidi" w:cs="Times New Roman"/>
                            <w:i/>
                            <w:iCs/>
                            <w:sz w:val="24"/>
                            <w:szCs w:val="24"/>
                            <w:bdr w:val="none" w:sz="0" w:space="0" w:color="auto" w:frame="1"/>
                            <w:lang w:eastAsia="id-ID"/>
                          </w:rPr>
                          <w:t>inherent </w:t>
                        </w:r>
                        <w:r w:rsidRPr="004D6F96">
                          <w:rPr>
                            <w:rFonts w:asciiTheme="minorBidi" w:eastAsia="Times New Roman" w:hAnsiTheme="minorBidi" w:cs="Times New Roman"/>
                            <w:sz w:val="24"/>
                            <w:szCs w:val="24"/>
                            <w:bdr w:val="none" w:sz="0" w:space="0" w:color="auto" w:frame="1"/>
                            <w:lang w:eastAsia="id-ID"/>
                          </w:rPr>
                          <w:t>dalam </w:t>
                        </w:r>
                        <w:r w:rsidRPr="004D6F96">
                          <w:rPr>
                            <w:rFonts w:asciiTheme="minorBidi" w:eastAsia="Times New Roman" w:hAnsiTheme="minorBidi" w:cs="Times New Roman"/>
                            <w:i/>
                            <w:iCs/>
                            <w:sz w:val="24"/>
                            <w:szCs w:val="24"/>
                            <w:bdr w:val="none" w:sz="0" w:space="0" w:color="auto" w:frame="1"/>
                            <w:lang w:eastAsia="id-ID"/>
                          </w:rPr>
                          <w:t>Flexible ITF</w:t>
                        </w:r>
                        <w:r w:rsidRPr="004D6F96">
                          <w:rPr>
                            <w:rFonts w:asciiTheme="minorBidi" w:eastAsia="Times New Roman" w:hAnsiTheme="minorBidi" w:cs="Times New Roman"/>
                            <w:sz w:val="24"/>
                            <w:szCs w:val="24"/>
                            <w:bdr w:val="none" w:sz="0" w:space="0" w:color="auto" w:frame="1"/>
                            <w:lang w:eastAsia="id-ID"/>
                          </w:rPr>
                          <w:t>. Kerangka </w:t>
                        </w:r>
                        <w:r w:rsidRPr="004D6F96">
                          <w:rPr>
                            <w:rFonts w:asciiTheme="minorBidi" w:eastAsia="Times New Roman" w:hAnsiTheme="minorBidi" w:cs="Times New Roman"/>
                            <w:i/>
                            <w:iCs/>
                            <w:sz w:val="24"/>
                            <w:szCs w:val="24"/>
                            <w:bdr w:val="none" w:sz="0" w:space="0" w:color="auto" w:frame="1"/>
                            <w:lang w:eastAsia="id-ID"/>
                          </w:rPr>
                          <w:t>Flexible ITF</w:t>
                        </w:r>
                        <w:r w:rsidRPr="004D6F96">
                          <w:rPr>
                            <w:rFonts w:asciiTheme="minorBidi" w:eastAsia="Times New Roman" w:hAnsiTheme="minorBidi" w:cs="Times New Roman"/>
                            <w:sz w:val="24"/>
                            <w:szCs w:val="24"/>
                            <w:bdr w:val="none" w:sz="0" w:space="0" w:color="auto" w:frame="1"/>
                            <w:lang w:eastAsia="id-ID"/>
                          </w:rPr>
                          <w:t> dibangun berdasarkan 5 (lima) elemen pokok.</w:t>
                        </w:r>
                      </w:p>
                      <w:p w:rsidR="00B77E6C" w:rsidRPr="004D6F96" w:rsidRDefault="00B77E6C" w:rsidP="005417FE">
                        <w:pPr>
                          <w:numPr>
                            <w:ilvl w:val="0"/>
                            <w:numId w:val="21"/>
                          </w:numPr>
                          <w:spacing w:after="0" w:line="240" w:lineRule="auto"/>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sz w:val="24"/>
                            <w:szCs w:val="24"/>
                            <w:bdr w:val="none" w:sz="0" w:space="0" w:color="auto" w:frame="1"/>
                            <w:lang w:eastAsia="id-ID"/>
                          </w:rPr>
                          <w:t>Pertama, inflasi tetap merupakan target utama kebijakan moneter.</w:t>
                        </w:r>
                      </w:p>
                      <w:p w:rsidR="00B77E6C" w:rsidRPr="004D6F96" w:rsidRDefault="00B77E6C" w:rsidP="005417FE">
                        <w:pPr>
                          <w:numPr>
                            <w:ilvl w:val="0"/>
                            <w:numId w:val="21"/>
                          </w:numPr>
                          <w:spacing w:after="0" w:line="240" w:lineRule="auto"/>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sz w:val="24"/>
                            <w:szCs w:val="24"/>
                            <w:bdr w:val="none" w:sz="0" w:space="0" w:color="auto" w:frame="1"/>
                            <w:lang w:eastAsia="id-ID"/>
                          </w:rPr>
                          <w:t>Kedua, pengintegrasian kebijakan moneter dengan kebijakan makroprudensial untuk memperkuat transmisi kebijakan dan mendukung stabilitas makroekonomi.</w:t>
                        </w:r>
                      </w:p>
                      <w:p w:rsidR="00B77E6C" w:rsidRPr="004D6F96" w:rsidRDefault="00B77E6C" w:rsidP="005417FE">
                        <w:pPr>
                          <w:numPr>
                            <w:ilvl w:val="0"/>
                            <w:numId w:val="21"/>
                          </w:numPr>
                          <w:spacing w:after="0" w:line="240" w:lineRule="auto"/>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sz w:val="24"/>
                            <w:szCs w:val="24"/>
                            <w:bdr w:val="none" w:sz="0" w:space="0" w:color="auto" w:frame="1"/>
                            <w:lang w:eastAsia="id-ID"/>
                          </w:rPr>
                          <w:t>Ketiga, penguatan kebijakan nilai tukar dan arus modal dalam mendukung stabilitas makroekonomi.</w:t>
                        </w:r>
                      </w:p>
                      <w:p w:rsidR="00B77E6C" w:rsidRPr="004D6F96" w:rsidRDefault="00B77E6C" w:rsidP="005417FE">
                        <w:pPr>
                          <w:numPr>
                            <w:ilvl w:val="0"/>
                            <w:numId w:val="21"/>
                          </w:numPr>
                          <w:spacing w:after="0" w:line="240" w:lineRule="auto"/>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sz w:val="24"/>
                            <w:szCs w:val="24"/>
                            <w:bdr w:val="none" w:sz="0" w:space="0" w:color="auto" w:frame="1"/>
                            <w:lang w:eastAsia="id-ID"/>
                          </w:rPr>
                          <w:t>Keempat, penguatan koordinasi kebijakan antara Bank Indonesia dengan Pemerintah baik untuk pengendalian inflasi maupun stabilitas sistem keuangan.</w:t>
                        </w:r>
                      </w:p>
                      <w:p w:rsidR="00B77E6C" w:rsidRPr="004D6F96" w:rsidRDefault="00B77E6C" w:rsidP="005417FE">
                        <w:pPr>
                          <w:numPr>
                            <w:ilvl w:val="0"/>
                            <w:numId w:val="21"/>
                          </w:numPr>
                          <w:spacing w:after="0" w:line="240" w:lineRule="auto"/>
                          <w:textAlignment w:val="baseline"/>
                          <w:rPr>
                            <w:rFonts w:asciiTheme="minorBidi" w:eastAsia="Times New Roman" w:hAnsiTheme="minorBidi" w:cs="Times New Roman"/>
                            <w:sz w:val="24"/>
                            <w:szCs w:val="24"/>
                            <w:bdr w:val="none" w:sz="0" w:space="0" w:color="auto" w:frame="1"/>
                            <w:lang w:eastAsia="id-ID"/>
                          </w:rPr>
                        </w:pPr>
                        <w:r w:rsidRPr="004D6F96">
                          <w:rPr>
                            <w:rFonts w:asciiTheme="minorBidi" w:eastAsia="Times New Roman" w:hAnsiTheme="minorBidi" w:cs="Times New Roman"/>
                            <w:sz w:val="24"/>
                            <w:szCs w:val="24"/>
                            <w:bdr w:val="none" w:sz="0" w:space="0" w:color="auto" w:frame="1"/>
                            <w:lang w:eastAsia="id-ID"/>
                          </w:rPr>
                          <w:t>Kelima, penguatan komunikasi kebijakan sebagai bagian dari instrumen kebijakan.</w:t>
                        </w:r>
                      </w:p>
                      <w:p w:rsidR="00525163" w:rsidRPr="004D6F96" w:rsidRDefault="00525163" w:rsidP="004D6F96">
                        <w:pPr>
                          <w:spacing w:after="0" w:line="240" w:lineRule="auto"/>
                          <w:textAlignment w:val="baseline"/>
                          <w:rPr>
                            <w:rFonts w:asciiTheme="minorBidi" w:eastAsia="Times New Roman" w:hAnsiTheme="minorBidi" w:cs="Times New Roman"/>
                            <w:sz w:val="24"/>
                            <w:szCs w:val="24"/>
                            <w:bdr w:val="none" w:sz="0" w:space="0" w:color="auto" w:frame="1"/>
                            <w:lang w:eastAsia="id-ID"/>
                          </w:rPr>
                        </w:pPr>
                      </w:p>
                      <w:p w:rsidR="00525163" w:rsidRPr="005B12F8" w:rsidRDefault="00525163" w:rsidP="00C67E92">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b/>
                            <w:bCs/>
                            <w:sz w:val="24"/>
                            <w:szCs w:val="24"/>
                            <w:bdr w:val="none" w:sz="0" w:space="0" w:color="auto" w:frame="1"/>
                            <w:lang w:eastAsia="id-ID"/>
                          </w:rPr>
                          <w:t>Pengen</w:t>
                        </w:r>
                        <w:r w:rsidRPr="005B12F8">
                          <w:rPr>
                            <w:rFonts w:ascii="Cambria Math" w:eastAsia="Times New Roman" w:hAnsi="Cambria Math" w:cs="Cambria Math"/>
                            <w:b/>
                            <w:bCs/>
                            <w:sz w:val="24"/>
                            <w:szCs w:val="24"/>
                            <w:bdr w:val="none" w:sz="0" w:space="0" w:color="auto" w:frame="1"/>
                            <w:lang w:eastAsia="id-ID"/>
                          </w:rPr>
                          <w:t>​</w:t>
                        </w:r>
                        <w:r w:rsidRPr="005B12F8">
                          <w:rPr>
                            <w:rFonts w:asciiTheme="minorBidi" w:eastAsia="Times New Roman" w:hAnsiTheme="minorBidi" w:cs="Times New Roman"/>
                            <w:b/>
                            <w:bCs/>
                            <w:sz w:val="24"/>
                            <w:szCs w:val="24"/>
                            <w:bdr w:val="none" w:sz="0" w:space="0" w:color="auto" w:frame="1"/>
                            <w:lang w:eastAsia="id-ID"/>
                          </w:rPr>
                          <w:t>alan Inflasi</w:t>
                        </w:r>
                      </w:p>
                      <w:p w:rsidR="00525163" w:rsidRPr="005B12F8" w:rsidRDefault="00525163" w:rsidP="004D6F96">
                        <w:p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 </w:t>
                        </w:r>
                      </w:p>
                      <w:p w:rsidR="00525163" w:rsidRPr="005B12F8" w:rsidRDefault="00525163" w:rsidP="00C67E92">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b/>
                            <w:bCs/>
                            <w:sz w:val="24"/>
                            <w:szCs w:val="24"/>
                            <w:bdr w:val="none" w:sz="0" w:space="0" w:color="auto" w:frame="1"/>
                            <w:lang w:eastAsia="id-ID"/>
                          </w:rPr>
                          <w:t>Definisi Inflasi    </w:t>
                        </w:r>
                        <w:r w:rsidR="005417FE" w:rsidRPr="005B12F8">
                          <w:rPr>
                            <w:rFonts w:asciiTheme="minorBidi" w:eastAsia="Times New Roman" w:hAnsiTheme="minorBidi" w:cs="Times New Roman"/>
                            <w:sz w:val="24"/>
                            <w:szCs w:val="24"/>
                            <w:lang w:eastAsia="id-ID"/>
                          </w:rPr>
                          <w:t xml:space="preserve"> </w:t>
                        </w:r>
                      </w:p>
                      <w:p w:rsidR="00525163" w:rsidRPr="005B12F8" w:rsidRDefault="00525163" w:rsidP="004D6F96">
                        <w:p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 </w:t>
                        </w:r>
                      </w:p>
                      <w:p w:rsidR="00525163" w:rsidRPr="005B12F8" w:rsidRDefault="00525163" w:rsidP="00C67E92">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Secara sederhana inflasi diartikan sebagai kenaikan harga secara umum dan terus menerus dalam jangka waktu tertentu. Kenaikan harga dari satu atau dua barang saja tidak dapat disebut inflasi kecuali bila kenaikan itu meluas (atau mengakibatkan kenaikan harga) pada barang lainnya. Kebalikan dari inflasi disebut deflasi.</w:t>
                        </w:r>
                      </w:p>
                      <w:p w:rsidR="00525163" w:rsidRPr="005B12F8" w:rsidRDefault="00525163" w:rsidP="00C67E92">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Indikator yang sering digunakan untuk mengukur tingkat inflasi adalah Indeks Harga Konsumen (IHK). Perubahan IHK dari waktu ke waktu menunjukkan pergerakan harga dari paket barang dan jasa yang dikonsumsi masyarakat. Penentuan barang dan jasa dalam keranjang IHK dilakukan atas dasar Survei Biaya Hidup (SBH) yang dilaksanakan oleh Badan Pusat Statistik (BPS). Kemudian, BPS akan memonitor perkembangan harga dari barang dan jasa tersebut secara bulanan di beberapa kota, di pasar tradisional dan modern terhadap beberapa jenis barang/jasa di setiap kota.</w:t>
                        </w:r>
                      </w:p>
                      <w:p w:rsidR="00C67E92" w:rsidRPr="005B12F8" w:rsidRDefault="00C67E92" w:rsidP="00C67E92">
                        <w:pPr>
                          <w:shd w:val="clear" w:color="auto" w:fill="FFFFFF"/>
                          <w:spacing w:after="0" w:line="240" w:lineRule="auto"/>
                          <w:textAlignment w:val="baseline"/>
                          <w:rPr>
                            <w:rFonts w:asciiTheme="minorBidi" w:eastAsia="Times New Roman" w:hAnsiTheme="minorBidi" w:cs="Times New Roman"/>
                            <w:sz w:val="24"/>
                            <w:szCs w:val="24"/>
                            <w:lang w:eastAsia="id-ID"/>
                          </w:rPr>
                        </w:pPr>
                      </w:p>
                      <w:p w:rsidR="00525163" w:rsidRPr="005B12F8" w:rsidRDefault="00525163" w:rsidP="00C67E92">
                        <w:p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Indikator inflasi lainnya berdasarkan international </w:t>
                        </w:r>
                        <w:r w:rsidRPr="005B12F8">
                          <w:rPr>
                            <w:rFonts w:asciiTheme="minorBidi" w:eastAsia="Times New Roman" w:hAnsiTheme="minorBidi" w:cs="Times New Roman"/>
                            <w:i/>
                            <w:iCs/>
                            <w:sz w:val="24"/>
                            <w:szCs w:val="24"/>
                            <w:bdr w:val="none" w:sz="0" w:space="0" w:color="auto" w:frame="1"/>
                            <w:lang w:eastAsia="id-ID"/>
                          </w:rPr>
                          <w:t>best practice </w:t>
                        </w:r>
                        <w:r w:rsidRPr="005B12F8">
                          <w:rPr>
                            <w:rFonts w:asciiTheme="minorBidi" w:eastAsia="Times New Roman" w:hAnsiTheme="minorBidi" w:cs="Times New Roman"/>
                            <w:sz w:val="24"/>
                            <w:szCs w:val="24"/>
                            <w:lang w:eastAsia="id-ID"/>
                          </w:rPr>
                          <w:t>antara lain:</w:t>
                        </w:r>
                      </w:p>
                      <w:p w:rsidR="00525163" w:rsidRPr="005B12F8" w:rsidRDefault="00525163" w:rsidP="00C67E92">
                        <w:pPr>
                          <w:numPr>
                            <w:ilvl w:val="0"/>
                            <w:numId w:val="22"/>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bdr w:val="none" w:sz="0" w:space="0" w:color="auto" w:frame="1"/>
                            <w:lang w:eastAsia="id-ID"/>
                          </w:rPr>
                          <w:t>Indeks Harga Perdagangan Besar (IHPB).</w:t>
                        </w:r>
                      </w:p>
                      <w:p w:rsidR="00525163" w:rsidRPr="005B12F8" w:rsidRDefault="00525163" w:rsidP="00C67E92">
                        <w:pPr>
                          <w:pStyle w:val="ListParagraph"/>
                          <w:numPr>
                            <w:ilvl w:val="0"/>
                            <w:numId w:val="22"/>
                          </w:num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 xml:space="preserve">Harga Perdagangan Besar dari suatu komoditas ialah harga transaksi yang terjadi antara penjual/pedagang besar pertama dengan pembeli/pedagang besar berikutnya dalam jumlah besar pada pasar pertama atas suatu komoditas. </w:t>
                        </w:r>
                      </w:p>
                      <w:p w:rsidR="00525163" w:rsidRPr="005B12F8" w:rsidRDefault="00525163" w:rsidP="00C67E92">
                        <w:pPr>
                          <w:numPr>
                            <w:ilvl w:val="0"/>
                            <w:numId w:val="22"/>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bdr w:val="none" w:sz="0" w:space="0" w:color="auto" w:frame="1"/>
                            <w:lang w:eastAsia="id-ID"/>
                          </w:rPr>
                          <w:t>Indeks Harga Produsen (IHP)</w:t>
                        </w:r>
                      </w:p>
                      <w:p w:rsidR="00525163" w:rsidRPr="005B12F8" w:rsidRDefault="00525163" w:rsidP="00C67E92">
                        <w:pPr>
                          <w:pStyle w:val="ListParagraph"/>
                          <w:numPr>
                            <w:ilvl w:val="0"/>
                            <w:numId w:val="22"/>
                          </w:num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Indikator ini mengukur perubahan rata-rata harga yang diterima produsen domestik untuk barang yang mereka hasilkan.</w:t>
                        </w:r>
                      </w:p>
                      <w:p w:rsidR="00525163" w:rsidRPr="005B12F8" w:rsidRDefault="00525163" w:rsidP="00C67E92">
                        <w:pPr>
                          <w:numPr>
                            <w:ilvl w:val="0"/>
                            <w:numId w:val="22"/>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bdr w:val="none" w:sz="0" w:space="0" w:color="auto" w:frame="1"/>
                            <w:lang w:eastAsia="id-ID"/>
                          </w:rPr>
                          <w:t>Deflator Produk Domestik Bruto (PDB)</w:t>
                        </w:r>
                      </w:p>
                      <w:p w:rsidR="00525163" w:rsidRPr="005B12F8" w:rsidRDefault="00525163" w:rsidP="00C67E92">
                        <w:pPr>
                          <w:pStyle w:val="ListParagraph"/>
                          <w:numPr>
                            <w:ilvl w:val="0"/>
                            <w:numId w:val="22"/>
                          </w:num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 xml:space="preserve">menunjukkan besarnya perubahan harga dari semua barang baru, barang produksi lokal, barang jadi, dan jasa. Deflator PDB dihasilkan dengan </w:t>
                        </w:r>
                        <w:r w:rsidRPr="005B12F8">
                          <w:rPr>
                            <w:rFonts w:asciiTheme="minorBidi" w:eastAsia="Times New Roman" w:hAnsiTheme="minorBidi" w:cs="Times New Roman"/>
                            <w:sz w:val="24"/>
                            <w:szCs w:val="24"/>
                            <w:lang w:eastAsia="id-ID"/>
                          </w:rPr>
                          <w:lastRenderedPageBreak/>
                          <w:t>membagi PDB atas dasar harga nominal dengan PDB atas dasar harga konstan.</w:t>
                        </w:r>
                      </w:p>
                      <w:p w:rsidR="00525163" w:rsidRPr="005B12F8" w:rsidRDefault="00525163" w:rsidP="00C67E92">
                        <w:pPr>
                          <w:numPr>
                            <w:ilvl w:val="0"/>
                            <w:numId w:val="22"/>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bdr w:val="none" w:sz="0" w:space="0" w:color="auto" w:frame="1"/>
                            <w:lang w:eastAsia="id-ID"/>
                          </w:rPr>
                          <w:t>Indeks Harga Aset</w:t>
                        </w:r>
                      </w:p>
                      <w:p w:rsidR="00525163" w:rsidRPr="005B12F8" w:rsidRDefault="00525163" w:rsidP="00C67E92">
                        <w:pPr>
                          <w:pStyle w:val="ListParagraph"/>
                          <w:numPr>
                            <w:ilvl w:val="0"/>
                            <w:numId w:val="22"/>
                          </w:num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Indeks ini mengukur pergerakan harga aset antara lain properti dan saham yang dapat dijadikan indikator adanya tekanan terhadap harga secara keseluruhan.</w:t>
                        </w:r>
                      </w:p>
                      <w:p w:rsidR="00525163" w:rsidRDefault="00525163" w:rsidP="004D6F96">
                        <w:pPr>
                          <w:shd w:val="clear" w:color="auto" w:fill="FFFFFF"/>
                          <w:spacing w:after="0" w:line="240" w:lineRule="auto"/>
                          <w:textAlignment w:val="baseline"/>
                          <w:rPr>
                            <w:rFonts w:asciiTheme="minorBidi" w:eastAsia="Times New Roman" w:hAnsiTheme="minorBidi" w:cs="Times New Roman"/>
                            <w:sz w:val="24"/>
                            <w:szCs w:val="24"/>
                            <w:lang w:val="en-US" w:eastAsia="id-ID"/>
                          </w:rPr>
                        </w:pPr>
                      </w:p>
                      <w:p w:rsidR="0032164A" w:rsidRPr="0032164A" w:rsidRDefault="0032164A" w:rsidP="004D6F96">
                        <w:pPr>
                          <w:shd w:val="clear" w:color="auto" w:fill="FFFFFF"/>
                          <w:spacing w:after="0" w:line="240" w:lineRule="auto"/>
                          <w:textAlignment w:val="baseline"/>
                          <w:rPr>
                            <w:rFonts w:asciiTheme="minorBidi" w:eastAsia="Times New Roman" w:hAnsiTheme="minorBidi" w:cs="Times New Roman"/>
                            <w:sz w:val="24"/>
                            <w:szCs w:val="24"/>
                            <w:lang w:val="en-US" w:eastAsia="id-ID"/>
                          </w:rPr>
                        </w:pPr>
                      </w:p>
                      <w:p w:rsidR="00525163" w:rsidRPr="005B12F8" w:rsidRDefault="00525163" w:rsidP="004D6F96">
                        <w:p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b/>
                            <w:bCs/>
                            <w:sz w:val="24"/>
                            <w:szCs w:val="24"/>
                            <w:bdr w:val="none" w:sz="0" w:space="0" w:color="auto" w:frame="1"/>
                            <w:lang w:eastAsia="id-ID"/>
                          </w:rPr>
                          <w:t>Pengelompokan Inflasi</w:t>
                        </w:r>
                      </w:p>
                      <w:p w:rsidR="00525163" w:rsidRPr="005B12F8" w:rsidRDefault="00525163" w:rsidP="004D6F96">
                        <w:p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Inflasi yang diukur dengan IHK di Indonesia dikelompokan ke dalam 7 kelompok pengeluaran (berdasarkan </w:t>
                        </w:r>
                        <w:r w:rsidRPr="005B12F8">
                          <w:rPr>
                            <w:rFonts w:asciiTheme="minorBidi" w:eastAsia="Times New Roman" w:hAnsiTheme="minorBidi" w:cs="Times New Roman"/>
                            <w:i/>
                            <w:iCs/>
                            <w:sz w:val="24"/>
                            <w:szCs w:val="24"/>
                            <w:bdr w:val="none" w:sz="0" w:space="0" w:color="auto" w:frame="1"/>
                            <w:lang w:eastAsia="id-ID"/>
                          </w:rPr>
                          <w:t>the Classification of individual consumption by purpose</w:t>
                        </w:r>
                        <w:r w:rsidRPr="005B12F8">
                          <w:rPr>
                            <w:rFonts w:asciiTheme="minorBidi" w:eastAsia="Times New Roman" w:hAnsiTheme="minorBidi" w:cs="Times New Roman"/>
                            <w:sz w:val="24"/>
                            <w:szCs w:val="24"/>
                            <w:lang w:eastAsia="id-ID"/>
                          </w:rPr>
                          <w:t> - COICOP), yaitu :</w:t>
                        </w:r>
                      </w:p>
                      <w:p w:rsidR="00525163" w:rsidRPr="005B12F8" w:rsidRDefault="00525163" w:rsidP="00C67E92">
                        <w:pPr>
                          <w:numPr>
                            <w:ilvl w:val="0"/>
                            <w:numId w:val="23"/>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Kelompok Bahan Makanan</w:t>
                        </w:r>
                      </w:p>
                      <w:p w:rsidR="00525163" w:rsidRPr="005B12F8" w:rsidRDefault="00525163" w:rsidP="00C67E92">
                        <w:pPr>
                          <w:numPr>
                            <w:ilvl w:val="0"/>
                            <w:numId w:val="23"/>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Kelompok Makanan Jadi, Minuman, Rokok dan Tembakau</w:t>
                        </w:r>
                      </w:p>
                      <w:p w:rsidR="00525163" w:rsidRPr="005B12F8" w:rsidRDefault="00525163" w:rsidP="00C67E92">
                        <w:pPr>
                          <w:numPr>
                            <w:ilvl w:val="0"/>
                            <w:numId w:val="23"/>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Kelompok Perumahan, Air, Listrik, Gas, dan Bahan Bakar</w:t>
                        </w:r>
                      </w:p>
                      <w:p w:rsidR="00525163" w:rsidRPr="005B12F8" w:rsidRDefault="00525163" w:rsidP="00C67E92">
                        <w:pPr>
                          <w:numPr>
                            <w:ilvl w:val="0"/>
                            <w:numId w:val="23"/>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Kelompok Sandang</w:t>
                        </w:r>
                      </w:p>
                      <w:p w:rsidR="00525163" w:rsidRPr="005B12F8" w:rsidRDefault="00525163" w:rsidP="00C67E92">
                        <w:pPr>
                          <w:numPr>
                            <w:ilvl w:val="0"/>
                            <w:numId w:val="23"/>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Kelompok Kesehatan</w:t>
                        </w:r>
                      </w:p>
                      <w:p w:rsidR="00525163" w:rsidRPr="005B12F8" w:rsidRDefault="00525163" w:rsidP="00C67E92">
                        <w:pPr>
                          <w:numPr>
                            <w:ilvl w:val="0"/>
                            <w:numId w:val="23"/>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Kelompok Pendidikan, Rekreasi, dan Olahraga</w:t>
                        </w:r>
                      </w:p>
                      <w:p w:rsidR="00525163" w:rsidRPr="005B12F8" w:rsidRDefault="00525163" w:rsidP="00C67E92">
                        <w:pPr>
                          <w:numPr>
                            <w:ilvl w:val="0"/>
                            <w:numId w:val="23"/>
                          </w:num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Kelompok Transpor, Komunikasi, dan Jasa Keuangan</w:t>
                        </w:r>
                      </w:p>
                      <w:p w:rsidR="00525163" w:rsidRPr="005B12F8" w:rsidRDefault="00525163" w:rsidP="004D6F96">
                        <w:pPr>
                          <w:spacing w:after="0" w:line="240" w:lineRule="auto"/>
                          <w:textAlignment w:val="baseline"/>
                          <w:rPr>
                            <w:rFonts w:asciiTheme="minorBidi" w:eastAsia="Times New Roman" w:hAnsiTheme="minorBidi" w:cs="Times New Roman"/>
                            <w:sz w:val="24"/>
                            <w:szCs w:val="24"/>
                            <w:bdr w:val="none" w:sz="0" w:space="0" w:color="auto" w:frame="1"/>
                            <w:lang w:eastAsia="id-ID"/>
                          </w:rPr>
                        </w:pPr>
                      </w:p>
                      <w:p w:rsidR="00525163" w:rsidRPr="005B12F8" w:rsidRDefault="00525163" w:rsidP="00C67E92">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b/>
                            <w:bCs/>
                            <w:sz w:val="24"/>
                            <w:szCs w:val="24"/>
                            <w:bdr w:val="none" w:sz="0" w:space="0" w:color="auto" w:frame="1"/>
                            <w:lang w:eastAsia="id-ID"/>
                          </w:rPr>
                          <w:t>Bank Indonesia dan Inflasi</w:t>
                        </w:r>
                      </w:p>
                      <w:p w:rsidR="00525163" w:rsidRPr="004D6F96" w:rsidRDefault="00525163" w:rsidP="004D6F96">
                        <w:pPr>
                          <w:shd w:val="clear" w:color="auto" w:fill="FFFFFF"/>
                          <w:spacing w:after="0" w:line="240" w:lineRule="auto"/>
                          <w:jc w:val="center"/>
                          <w:textAlignment w:val="baseline"/>
                          <w:rPr>
                            <w:rFonts w:asciiTheme="minorBidi" w:eastAsia="Times New Roman" w:hAnsiTheme="minorBidi" w:cs="Times New Roman"/>
                            <w:color w:val="333333"/>
                            <w:sz w:val="24"/>
                            <w:szCs w:val="24"/>
                            <w:lang w:eastAsia="id-ID"/>
                          </w:rPr>
                        </w:pPr>
                        <w:r w:rsidRPr="004D6F96">
                          <w:rPr>
                            <w:rFonts w:asciiTheme="minorBidi" w:eastAsia="Times New Roman" w:hAnsiTheme="minorBidi" w:cs="Times New Roman"/>
                            <w:color w:val="333333"/>
                            <w:sz w:val="24"/>
                            <w:szCs w:val="24"/>
                            <w:lang w:eastAsia="id-ID"/>
                          </w:rPr>
                          <w:t> </w:t>
                        </w:r>
                      </w:p>
                      <w:p w:rsidR="00525163" w:rsidRPr="00C67E92" w:rsidRDefault="00525163" w:rsidP="00C67E92">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C67E92">
                          <w:rPr>
                            <w:rFonts w:asciiTheme="minorBidi" w:eastAsia="Times New Roman" w:hAnsiTheme="minorBidi" w:cs="Times New Roman"/>
                            <w:b/>
                            <w:bCs/>
                            <w:sz w:val="24"/>
                            <w:szCs w:val="24"/>
                            <w:bdr w:val="none" w:sz="0" w:space="0" w:color="auto" w:frame="1"/>
                            <w:lang w:eastAsia="id-ID"/>
                          </w:rPr>
                          <w:t>Inflasi sebagai ‘</w:t>
                        </w:r>
                        <w:r w:rsidRPr="00C67E92">
                          <w:rPr>
                            <w:rFonts w:asciiTheme="minorBidi" w:eastAsia="Times New Roman" w:hAnsiTheme="minorBidi" w:cs="Times New Roman"/>
                            <w:b/>
                            <w:bCs/>
                            <w:i/>
                            <w:iCs/>
                            <w:sz w:val="24"/>
                            <w:szCs w:val="24"/>
                            <w:bdr w:val="none" w:sz="0" w:space="0" w:color="auto" w:frame="1"/>
                            <w:lang w:eastAsia="id-ID"/>
                          </w:rPr>
                          <w:t>single objective</w:t>
                        </w:r>
                        <w:r w:rsidRPr="00C67E92">
                          <w:rPr>
                            <w:rFonts w:asciiTheme="minorBidi" w:eastAsia="Times New Roman" w:hAnsiTheme="minorBidi" w:cs="Times New Roman"/>
                            <w:b/>
                            <w:bCs/>
                            <w:sz w:val="24"/>
                            <w:szCs w:val="24"/>
                            <w:bdr w:val="none" w:sz="0" w:space="0" w:color="auto" w:frame="1"/>
                            <w:lang w:eastAsia="id-ID"/>
                          </w:rPr>
                          <w:t>’</w:t>
                        </w:r>
                      </w:p>
                      <w:p w:rsidR="00525163" w:rsidRPr="005B12F8" w:rsidRDefault="00525163" w:rsidP="00C67E92">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Melalui amanat yang tercakup di </w:t>
                        </w:r>
                        <w:hyperlink r:id="rId16" w:history="1">
                          <w:r w:rsidRPr="005B12F8">
                            <w:rPr>
                              <w:rFonts w:asciiTheme="minorBidi" w:eastAsia="Times New Roman" w:hAnsiTheme="minorBidi" w:cs="Times New Roman"/>
                              <w:sz w:val="24"/>
                              <w:szCs w:val="24"/>
                              <w:bdr w:val="none" w:sz="0" w:space="0" w:color="auto" w:frame="1"/>
                              <w:lang w:eastAsia="id-ID"/>
                            </w:rPr>
                            <w:t>Undang Undang tentang Bank Indonesia</w:t>
                          </w:r>
                        </w:hyperlink>
                        <w:r w:rsidRPr="005B12F8">
                          <w:rPr>
                            <w:rFonts w:asciiTheme="minorBidi" w:eastAsia="Times New Roman" w:hAnsiTheme="minorBidi" w:cs="Times New Roman"/>
                            <w:sz w:val="24"/>
                            <w:szCs w:val="24"/>
                            <w:lang w:eastAsia="id-ID"/>
                          </w:rPr>
                          <w:t>, tujuan Bank Indonesia fokus pada pencapaian sasaran tunggal atau ‘</w:t>
                        </w:r>
                        <w:r w:rsidRPr="005B12F8">
                          <w:rPr>
                            <w:rFonts w:asciiTheme="minorBidi" w:eastAsia="Times New Roman" w:hAnsiTheme="minorBidi" w:cs="Times New Roman"/>
                            <w:i/>
                            <w:iCs/>
                            <w:sz w:val="24"/>
                            <w:szCs w:val="24"/>
                            <w:bdr w:val="none" w:sz="0" w:space="0" w:color="auto" w:frame="1"/>
                            <w:lang w:eastAsia="id-ID"/>
                          </w:rPr>
                          <w:t>single objective</w:t>
                        </w:r>
                        <w:r w:rsidRPr="005B12F8">
                          <w:rPr>
                            <w:rFonts w:asciiTheme="minorBidi" w:eastAsia="Times New Roman" w:hAnsiTheme="minorBidi" w:cs="Times New Roman"/>
                            <w:sz w:val="24"/>
                            <w:szCs w:val="24"/>
                            <w:lang w:eastAsia="id-ID"/>
                          </w:rPr>
                          <w:t>-nya’, yaitu mencapai dan memelihara kestabilan nilai rupiah. Kestabilan nilai rupiah ini mengandung dua aspek, yaitu kestabilan nilai mata uang terhadap barang dan jasa, serta kestabilan terhadap mata uang negara lain. Aspek pertama tercermin pada perkembangan laju inflasi, sementara aspek kedua tercermin pada perkembangan nilai tukar rupiah terhadap mata uang Negara lain.</w:t>
                        </w:r>
                      </w:p>
                      <w:p w:rsidR="00525163" w:rsidRPr="005B12F8" w:rsidRDefault="00525163" w:rsidP="00C67E92">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Perumusan tujuan tunggal ini dimaksudkan untuk memperjelas sasaran yang harus dicapai oleh Bank Indonesia serta batas-batas tanggung jawabnya. Dengan demikian, tercapai atau tidaknya tujuan Bank Indonesia ini kelak akan dapat diukur dengan mudah. Dalam upaya pencapaian tujuannya, Bank Indonesia menyadari bahwa pencapaian pertumbuhan ekonomi dan pengendalian inflasi perlu diselaraskan untuk mencapai hasil yang optimal dan berkesinambungan dalam jangka panjang. </w:t>
                        </w:r>
                      </w:p>
                      <w:p w:rsidR="00525163" w:rsidRPr="005B12F8" w:rsidRDefault="00525163" w:rsidP="00C67E92">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 xml:space="preserve"> </w:t>
                        </w:r>
                      </w:p>
                      <w:p w:rsidR="00525163" w:rsidRPr="005B12F8" w:rsidRDefault="00525163" w:rsidP="00C67E92">
                        <w:pPr>
                          <w:pStyle w:val="ms-rtefontsize-1"/>
                          <w:shd w:val="clear" w:color="auto" w:fill="FFFFFF"/>
                          <w:spacing w:before="0" w:beforeAutospacing="0" w:after="0" w:afterAutospacing="0"/>
                          <w:jc w:val="both"/>
                          <w:textAlignment w:val="baseline"/>
                          <w:rPr>
                            <w:rFonts w:asciiTheme="minorBidi" w:hAnsiTheme="minorBidi"/>
                          </w:rPr>
                        </w:pPr>
                        <w:r w:rsidRPr="005B12F8">
                          <w:rPr>
                            <w:rFonts w:asciiTheme="minorBidi" w:hAnsiTheme="minorBidi"/>
                            <w:b/>
                            <w:bCs/>
                            <w:bdr w:val="none" w:sz="0" w:space="0" w:color="auto" w:frame="1"/>
                          </w:rPr>
                          <w:t>Pengendalian Inflasi</w:t>
                        </w:r>
                      </w:p>
                      <w:p w:rsidR="00525163" w:rsidRPr="005B12F8" w:rsidRDefault="00525163" w:rsidP="00C67E92">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Kebijakan moneter Bank Indonesia ditujukan untuk mengelola tekanan harga yang berasal dari sisi permintaan </w:t>
                        </w:r>
                        <w:r w:rsidRPr="005B12F8">
                          <w:rPr>
                            <w:rFonts w:asciiTheme="minorBidi" w:eastAsia="Times New Roman" w:hAnsiTheme="minorBidi" w:cs="Times New Roman"/>
                            <w:i/>
                            <w:iCs/>
                            <w:sz w:val="24"/>
                            <w:szCs w:val="24"/>
                            <w:bdr w:val="none" w:sz="0" w:space="0" w:color="auto" w:frame="1"/>
                            <w:lang w:eastAsia="id-ID"/>
                          </w:rPr>
                          <w:t>aggregat</w:t>
                        </w:r>
                        <w:r w:rsidRPr="005B12F8">
                          <w:rPr>
                            <w:rFonts w:asciiTheme="minorBidi" w:eastAsia="Times New Roman" w:hAnsiTheme="minorBidi" w:cs="Times New Roman"/>
                            <w:sz w:val="24"/>
                            <w:szCs w:val="24"/>
                            <w:lang w:eastAsia="id-ID"/>
                          </w:rPr>
                          <w:t> (</w:t>
                        </w:r>
                        <w:r w:rsidRPr="005B12F8">
                          <w:rPr>
                            <w:rFonts w:asciiTheme="minorBidi" w:eastAsia="Times New Roman" w:hAnsiTheme="minorBidi" w:cs="Times New Roman"/>
                            <w:i/>
                            <w:iCs/>
                            <w:sz w:val="24"/>
                            <w:szCs w:val="24"/>
                            <w:bdr w:val="none" w:sz="0" w:space="0" w:color="auto" w:frame="1"/>
                            <w:lang w:eastAsia="id-ID"/>
                          </w:rPr>
                          <w:t>demand management</w:t>
                        </w:r>
                        <w:r w:rsidRPr="005B12F8">
                          <w:rPr>
                            <w:rFonts w:asciiTheme="minorBidi" w:eastAsia="Times New Roman" w:hAnsiTheme="minorBidi" w:cs="Times New Roman"/>
                            <w:sz w:val="24"/>
                            <w:szCs w:val="24"/>
                            <w:lang w:eastAsia="id-ID"/>
                          </w:rPr>
                          <w:t>) relatif terhadap kondisi sisi penawaran. Kebijakan moneter tidak ditujukan untuk merespon kenaikan inflasi yang disebabkan oleh faktor yang bersifat kejutan yang bersifat sementara (</w:t>
                        </w:r>
                        <w:r w:rsidRPr="005B12F8">
                          <w:rPr>
                            <w:rFonts w:asciiTheme="minorBidi" w:eastAsia="Times New Roman" w:hAnsiTheme="minorBidi" w:cs="Times New Roman"/>
                            <w:i/>
                            <w:iCs/>
                            <w:sz w:val="24"/>
                            <w:szCs w:val="24"/>
                            <w:bdr w:val="none" w:sz="0" w:space="0" w:color="auto" w:frame="1"/>
                            <w:lang w:eastAsia="id-ID"/>
                          </w:rPr>
                          <w:t>temporer</w:t>
                        </w:r>
                        <w:r w:rsidRPr="005B12F8">
                          <w:rPr>
                            <w:rFonts w:asciiTheme="minorBidi" w:eastAsia="Times New Roman" w:hAnsiTheme="minorBidi" w:cs="Times New Roman"/>
                            <w:sz w:val="24"/>
                            <w:szCs w:val="24"/>
                            <w:lang w:eastAsia="id-ID"/>
                          </w:rPr>
                          <w:t>) yang akan hilang dengan sendirinya seiring dengan berjalannya waktu.</w:t>
                        </w:r>
                      </w:p>
                      <w:p w:rsidR="00525163" w:rsidRPr="005B12F8" w:rsidRDefault="00525163" w:rsidP="00C67E92">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Sementara inflasi juga dapat dipengaruhi oleh faktor yang berasal dari sisi penawaran ataupun yang bersifat kejutan (</w:t>
                        </w:r>
                        <w:r w:rsidRPr="005B12F8">
                          <w:rPr>
                            <w:rFonts w:asciiTheme="minorBidi" w:eastAsia="Times New Roman" w:hAnsiTheme="minorBidi" w:cs="Times New Roman"/>
                            <w:i/>
                            <w:iCs/>
                            <w:sz w:val="24"/>
                            <w:szCs w:val="24"/>
                            <w:bdr w:val="none" w:sz="0" w:space="0" w:color="auto" w:frame="1"/>
                            <w:lang w:eastAsia="id-ID"/>
                          </w:rPr>
                          <w:t>shocks</w:t>
                        </w:r>
                        <w:r w:rsidRPr="005B12F8">
                          <w:rPr>
                            <w:rFonts w:asciiTheme="minorBidi" w:eastAsia="Times New Roman" w:hAnsiTheme="minorBidi" w:cs="Times New Roman"/>
                            <w:sz w:val="24"/>
                            <w:szCs w:val="24"/>
                            <w:lang w:eastAsia="id-ID"/>
                          </w:rPr>
                          <w:t>) seperti kenaikan harga minyak dunia dan adanya gangguan panen atau banjir Dari bobot dalam keranjang IHK, bobot inflasi yang dipengaruhi oleh faktor kejutan diwakili oleh kelompok </w:t>
                        </w:r>
                        <w:r w:rsidRPr="005B12F8">
                          <w:rPr>
                            <w:rFonts w:asciiTheme="minorBidi" w:eastAsia="Times New Roman" w:hAnsiTheme="minorBidi" w:cs="Times New Roman"/>
                            <w:i/>
                            <w:iCs/>
                            <w:sz w:val="24"/>
                            <w:szCs w:val="24"/>
                            <w:bdr w:val="none" w:sz="0" w:space="0" w:color="auto" w:frame="1"/>
                            <w:lang w:eastAsia="id-ID"/>
                          </w:rPr>
                          <w:t>volatile food</w:t>
                        </w:r>
                        <w:r w:rsidRPr="005B12F8">
                          <w:rPr>
                            <w:rFonts w:asciiTheme="minorBidi" w:eastAsia="Times New Roman" w:hAnsiTheme="minorBidi" w:cs="Times New Roman"/>
                            <w:sz w:val="24"/>
                            <w:szCs w:val="24"/>
                            <w:lang w:eastAsia="id-ID"/>
                          </w:rPr>
                          <w:t> dan </w:t>
                        </w:r>
                        <w:r w:rsidRPr="005B12F8">
                          <w:rPr>
                            <w:rFonts w:asciiTheme="minorBidi" w:eastAsia="Times New Roman" w:hAnsiTheme="minorBidi" w:cs="Times New Roman"/>
                            <w:i/>
                            <w:iCs/>
                            <w:sz w:val="24"/>
                            <w:szCs w:val="24"/>
                            <w:bdr w:val="none" w:sz="0" w:space="0" w:color="auto" w:frame="1"/>
                            <w:lang w:eastAsia="id-ID"/>
                          </w:rPr>
                          <w:t>administered prices</w:t>
                        </w:r>
                        <w:r w:rsidRPr="005B12F8">
                          <w:rPr>
                            <w:rFonts w:asciiTheme="minorBidi" w:eastAsia="Times New Roman" w:hAnsiTheme="minorBidi" w:cs="Times New Roman"/>
                            <w:sz w:val="24"/>
                            <w:szCs w:val="24"/>
                            <w:lang w:eastAsia="id-ID"/>
                          </w:rPr>
                          <w:t> yang mencakup kurang lebih 40% dari bobot IHK.</w:t>
                        </w:r>
                      </w:p>
                      <w:p w:rsidR="0032164A" w:rsidRDefault="0032164A" w:rsidP="00C67E92">
                        <w:pPr>
                          <w:shd w:val="clear" w:color="auto" w:fill="FFFFFF"/>
                          <w:spacing w:after="0" w:line="240" w:lineRule="auto"/>
                          <w:ind w:firstLine="567"/>
                          <w:jc w:val="both"/>
                          <w:textAlignment w:val="baseline"/>
                          <w:rPr>
                            <w:rFonts w:asciiTheme="minorBidi" w:eastAsia="Times New Roman" w:hAnsiTheme="minorBidi" w:cs="Times New Roman"/>
                            <w:sz w:val="24"/>
                            <w:szCs w:val="24"/>
                            <w:lang w:val="en-US" w:eastAsia="id-ID"/>
                          </w:rPr>
                        </w:pPr>
                      </w:p>
                      <w:p w:rsidR="00525163" w:rsidRPr="005B12F8" w:rsidRDefault="00525163" w:rsidP="00C67E92">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lastRenderedPageBreak/>
                          <w:t>Dengan demikian, kemampuan Bank Indonesia untuk mengendalikan inflasi sangat terbatas apabila terdapat kejutan (</w:t>
                        </w:r>
                        <w:r w:rsidRPr="005B12F8">
                          <w:rPr>
                            <w:rFonts w:asciiTheme="minorBidi" w:eastAsia="Times New Roman" w:hAnsiTheme="minorBidi" w:cs="Times New Roman"/>
                            <w:i/>
                            <w:iCs/>
                            <w:sz w:val="24"/>
                            <w:szCs w:val="24"/>
                            <w:bdr w:val="none" w:sz="0" w:space="0" w:color="auto" w:frame="1"/>
                            <w:lang w:eastAsia="id-ID"/>
                          </w:rPr>
                          <w:t>shocks</w:t>
                        </w:r>
                        <w:r w:rsidRPr="005B12F8">
                          <w:rPr>
                            <w:rFonts w:asciiTheme="minorBidi" w:eastAsia="Times New Roman" w:hAnsiTheme="minorBidi" w:cs="Times New Roman"/>
                            <w:sz w:val="24"/>
                            <w:szCs w:val="24"/>
                            <w:lang w:eastAsia="id-ID"/>
                          </w:rPr>
                          <w:t>) yang sangat besar seperti ketika terjadi kenaikan harga BBM di tahun 2005 dan 2008 sehingga menyebabkan adanya lonjakan inflasi.</w:t>
                        </w:r>
                      </w:p>
                      <w:p w:rsidR="00525163" w:rsidRPr="005B12F8" w:rsidRDefault="00525163" w:rsidP="00C67E92">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Dengan pertimbangan bahwa laju inflasi juga dipengaruhi oleh faktor yang bersifat kejutan tersebut maka pencapaian sasaran inflasi memerlukan kerjasama dan koordinasi antara pemerintah dan BI melalui kebijakan makroekonomi yang terintegrasi baik dari kebijakan fiskal, moneter maupun sektoral. Lebih jauh, karakteristik inflasi Indonesia yang cukup rentan terhadap kejutan-kejutan (</w:t>
                        </w:r>
                        <w:r w:rsidRPr="005B12F8">
                          <w:rPr>
                            <w:rFonts w:asciiTheme="minorBidi" w:eastAsia="Times New Roman" w:hAnsiTheme="minorBidi" w:cs="Times New Roman"/>
                            <w:i/>
                            <w:iCs/>
                            <w:sz w:val="24"/>
                            <w:szCs w:val="24"/>
                            <w:bdr w:val="none" w:sz="0" w:space="0" w:color="auto" w:frame="1"/>
                            <w:lang w:eastAsia="id-ID"/>
                          </w:rPr>
                          <w:t>shocks</w:t>
                        </w:r>
                        <w:r w:rsidRPr="005B12F8">
                          <w:rPr>
                            <w:rFonts w:asciiTheme="minorBidi" w:eastAsia="Times New Roman" w:hAnsiTheme="minorBidi" w:cs="Times New Roman"/>
                            <w:sz w:val="24"/>
                            <w:szCs w:val="24"/>
                            <w:lang w:eastAsia="id-ID"/>
                          </w:rPr>
                          <w:t>) dari sisi penawaran memerlukan kebijakan-kebijakan khusus untuk permasalahan tersebut.</w:t>
                        </w:r>
                      </w:p>
                      <w:p w:rsidR="00525163" w:rsidRPr="005B12F8" w:rsidRDefault="00525163" w:rsidP="00C67E92">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Dalam tataran teknis, koordinasi antara pemerintah dan BI telah diwujudkan dengan membentuk Tim Koordinasi Penetapan Sasaran, Pemantauan dan Pengendalian Inflasi (TPI) di tingkat pusat sejak tahun 2005. Anggota TPI, terdiri dari Bank Indonesia dan departmen teknis terkait di Pemerintah seperti Departemen Keuangan, Kantor Menko Bidang Perekonomian, Badan Perencanaan Pembangunan Nasional, Departemen Perdagangan, Departemen Pertanian, Departemen Perhubungan, dan Departemen Tenaga Kerja dan Transmigrasi. Menyadari pentingnya koordinasi tersebut, sejak tahun 2008 pembentukan TPI diperluas hingga ke level daerah. Ke depan, koordinasi antara Pemerintah dan BI diharapkan akan semakin efektif dengan dukungan forum TPI baik pusat maupun daerah sehingga dapat terwujud inflasi yang rendah dan stabil, yang bermuara pada pertumbuhan ekonomi yang berkesinambungan dan berkelanjutan.</w:t>
                        </w:r>
                      </w:p>
                      <w:p w:rsidR="00525163" w:rsidRPr="005B12F8" w:rsidRDefault="00525163" w:rsidP="00C67E92">
                        <w:pPr>
                          <w:shd w:val="clear" w:color="auto" w:fill="FFFFFF"/>
                          <w:spacing w:after="0" w:line="240" w:lineRule="auto"/>
                          <w:ind w:firstLine="567"/>
                          <w:textAlignment w:val="baseline"/>
                          <w:rPr>
                            <w:rFonts w:asciiTheme="minorBidi" w:eastAsia="Times New Roman" w:hAnsiTheme="minorBidi" w:cs="Times New Roman"/>
                            <w:sz w:val="24"/>
                            <w:szCs w:val="24"/>
                            <w:lang w:eastAsia="id-ID"/>
                          </w:rPr>
                        </w:pPr>
                      </w:p>
                      <w:p w:rsidR="00525163" w:rsidRPr="005B12F8" w:rsidRDefault="00525163" w:rsidP="00C67E92">
                        <w:p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b/>
                            <w:bCs/>
                            <w:sz w:val="24"/>
                            <w:szCs w:val="24"/>
                            <w:bdr w:val="none" w:sz="0" w:space="0" w:color="auto" w:frame="1"/>
                            <w:lang w:eastAsia="id-ID"/>
                          </w:rPr>
                          <w:t>Penetapan Target Inflasi</w:t>
                        </w:r>
                      </w:p>
                      <w:p w:rsidR="00CB7415" w:rsidRPr="005B12F8" w:rsidRDefault="00525163" w:rsidP="008E67F3">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 xml:space="preserve">Target atau sasaran inflasi merupakan tingkat inflasi yang harus dicapai oleh Bank Indonesia, berkoordinasi dengan Pemerintah. Penetapan sasaran inflasi berdasarkan UU mengenai Bank Indonesia dilakukan oleh Pemerintah. Dalam Nota Kesepahaman antara Pemerintah dan Bank Indonesia, sasaran inflasi ditetapkan untuk tiga tahun ke depan melalui Peraturan Menteri Keuangan (PMK). </w:t>
                        </w:r>
                      </w:p>
                      <w:p w:rsidR="00525163" w:rsidRPr="005B12F8" w:rsidRDefault="00525163" w:rsidP="008E67F3">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Sasaran inflasi tersebut diharapkan dapat menjadi acuan bagi pelaku usaha dan masyarakat dalam melakukan kegiatan ekonominya ke depan sehingga tingkat inflasi dapat diturunkan pada tingkat yang rendah dan stabil. Bank Indonesia dan Pemerintah senantiasa berkomitmen untuk mencapai sasaran inflasi yang ditetapkan tersebut melalui koordinasi kebijakan yang konsisten dengan sasaran inflasi tersebut. Salah satu upaya pengendalian inflasi menuju inflasi yang rendah dan stabil adalah dengan membentuk dan mengarahkan ekspektasi inflasi masyarakat agar mengacu (</w:t>
                        </w:r>
                        <w:r w:rsidRPr="005B12F8">
                          <w:rPr>
                            <w:rFonts w:asciiTheme="minorBidi" w:eastAsia="Times New Roman" w:hAnsiTheme="minorBidi" w:cs="Times New Roman"/>
                            <w:i/>
                            <w:iCs/>
                            <w:sz w:val="24"/>
                            <w:szCs w:val="24"/>
                            <w:bdr w:val="none" w:sz="0" w:space="0" w:color="auto" w:frame="1"/>
                            <w:lang w:eastAsia="id-ID"/>
                          </w:rPr>
                          <w:t>anchor</w:t>
                        </w:r>
                        <w:r w:rsidRPr="005B12F8">
                          <w:rPr>
                            <w:rFonts w:asciiTheme="minorBidi" w:eastAsia="Times New Roman" w:hAnsiTheme="minorBidi" w:cs="Times New Roman"/>
                            <w:sz w:val="24"/>
                            <w:szCs w:val="24"/>
                            <w:lang w:eastAsia="id-ID"/>
                          </w:rPr>
                          <w:t xml:space="preserve">) pada sasaran inflasi yang telah ditetapkan </w:t>
                        </w:r>
                      </w:p>
                      <w:p w:rsidR="00525163" w:rsidRPr="005B12F8" w:rsidRDefault="00525163" w:rsidP="008E67F3">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Sebelum UU No. 23 Tahun 1999 tentang Bank Indonesia, sasaran inflasi ditetapkan oleh Bank Indonesia. Sementara setelah UU tersebut, dalam rangka meningkatkan kredibilitas Bank Indonesia maka sasaran inflasi ditetapkan oleh Pemerintah. </w:t>
                        </w:r>
                      </w:p>
                      <w:p w:rsidR="00525163" w:rsidRPr="005B12F8" w:rsidRDefault="00525163" w:rsidP="004D6F96">
                        <w:pPr>
                          <w:pStyle w:val="Heading1"/>
                          <w:shd w:val="clear" w:color="auto" w:fill="FFFFFF"/>
                          <w:spacing w:before="0" w:beforeAutospacing="0" w:after="0" w:afterAutospacing="0"/>
                          <w:textAlignment w:val="baseline"/>
                          <w:rPr>
                            <w:rFonts w:asciiTheme="minorBidi" w:hAnsiTheme="minorBidi"/>
                            <w:sz w:val="24"/>
                            <w:szCs w:val="24"/>
                          </w:rPr>
                        </w:pPr>
                      </w:p>
                      <w:tbl>
                        <w:tblPr>
                          <w:tblW w:w="5000" w:type="pct"/>
                          <w:tblCellMar>
                            <w:left w:w="0" w:type="dxa"/>
                            <w:right w:w="0" w:type="dxa"/>
                          </w:tblCellMar>
                          <w:tblLook w:val="04A0" w:firstRow="1" w:lastRow="0" w:firstColumn="1" w:lastColumn="0" w:noHBand="0" w:noVBand="1"/>
                        </w:tblPr>
                        <w:tblGrid>
                          <w:gridCol w:w="9026"/>
                        </w:tblGrid>
                        <w:tr w:rsidR="00525163" w:rsidRPr="005B12F8" w:rsidTr="00525163">
                          <w:tc>
                            <w:tcPr>
                              <w:tcW w:w="5000" w:type="pct"/>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25163" w:rsidRPr="005B12F8">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25163" w:rsidRPr="005B12F8">
                                      <w:tc>
                                        <w:tcPr>
                                          <w:tcW w:w="0" w:type="auto"/>
                                          <w:tcBorders>
                                            <w:top w:val="nil"/>
                                            <w:left w:val="nil"/>
                                            <w:bottom w:val="nil"/>
                                            <w:right w:val="nil"/>
                                          </w:tcBorders>
                                          <w:vAlign w:val="bottom"/>
                                          <w:hideMark/>
                                        </w:tcPr>
                                        <w:p w:rsidR="00525163" w:rsidRPr="005B12F8" w:rsidRDefault="00525163" w:rsidP="004D6F96">
                                          <w:pPr>
                                            <w:pStyle w:val="NormalWeb"/>
                                            <w:spacing w:before="0" w:beforeAutospacing="0" w:after="0" w:afterAutospacing="0"/>
                                            <w:textAlignment w:val="baseline"/>
                                            <w:rPr>
                                              <w:rFonts w:asciiTheme="minorBidi" w:hAnsiTheme="minorBidi"/>
                                            </w:rPr>
                                          </w:pPr>
                                          <w:r w:rsidRPr="005B12F8">
                                            <w:rPr>
                                              <w:rStyle w:val="Strong"/>
                                              <w:rFonts w:asciiTheme="minorBidi" w:hAnsiTheme="minorBidi"/>
                                              <w:bdr w:val="none" w:sz="0" w:space="0" w:color="auto" w:frame="1"/>
                                            </w:rPr>
                                            <w:t>Koordinasi Pengendalian Inflasi</w:t>
                                          </w:r>
                                        </w:p>
                                        <w:p w:rsidR="00525163" w:rsidRPr="005B12F8" w:rsidRDefault="00525163" w:rsidP="00CB7415">
                                          <w:pPr>
                                            <w:pStyle w:val="NormalWeb"/>
                                            <w:spacing w:before="0" w:beforeAutospacing="0" w:after="0" w:afterAutospacing="0"/>
                                            <w:ind w:firstLine="567"/>
                                            <w:jc w:val="both"/>
                                            <w:textAlignment w:val="baseline"/>
                                            <w:rPr>
                                              <w:rFonts w:asciiTheme="minorBidi" w:hAnsiTheme="minorBidi"/>
                                            </w:rPr>
                                          </w:pPr>
                                          <w:r w:rsidRPr="005B12F8">
                                            <w:rPr>
                                              <w:rFonts w:asciiTheme="minorBidi" w:hAnsiTheme="minorBidi"/>
                                            </w:rPr>
                                            <w:t xml:space="preserve">Inflasi yang rendah dan stabil merupakan prasyarat untuk mewujudkan kesejahteraan masyarakat. Sementara itu, sumber tekanan inflasi Indonesia tidak hanya berasal dari sisi permintaan yang dapat dikelola oleh Bank Indonesia. Dari hasil penelitian, karakteristik inflasi di Indonesia masih cenderung bergejolak yang terutama dipengaruhi oleh sisi suplai (sisi penawaran) antara lain berkenaan dengan gangguan produksi, distribusi maupun kebijakan pemerintah. Selain itu, shocks </w:t>
                                          </w:r>
                                          <w:r w:rsidRPr="005B12F8">
                                            <w:rPr>
                                              <w:rFonts w:asciiTheme="minorBidi" w:hAnsiTheme="minorBidi"/>
                                            </w:rPr>
                                            <w:lastRenderedPageBreak/>
                                            <w:t>terhadap inflasi juga dapat berasal dari kebijakan pemerintah terkait harga komoditas strategis seperti BBM dan komoditas energi lainnya (</w:t>
                                          </w:r>
                                          <w:r w:rsidRPr="005B12F8">
                                            <w:rPr>
                                              <w:rStyle w:val="Emphasis"/>
                                              <w:rFonts w:asciiTheme="minorBidi" w:hAnsiTheme="minorBidi"/>
                                              <w:bdr w:val="none" w:sz="0" w:space="0" w:color="auto" w:frame="1"/>
                                            </w:rPr>
                                            <w:t>administered prices</w:t>
                                          </w:r>
                                          <w:r w:rsidRPr="005B12F8">
                                            <w:rPr>
                                              <w:rFonts w:asciiTheme="minorBidi" w:hAnsiTheme="minorBidi"/>
                                            </w:rPr>
                                            <w:t>).</w:t>
                                          </w:r>
                                        </w:p>
                                        <w:p w:rsidR="00525163" w:rsidRPr="005B12F8" w:rsidRDefault="00525163" w:rsidP="00CB7415">
                                          <w:pPr>
                                            <w:pStyle w:val="NormalWeb"/>
                                            <w:spacing w:before="0" w:beforeAutospacing="0" w:after="0" w:afterAutospacing="0"/>
                                            <w:ind w:firstLine="567"/>
                                            <w:jc w:val="both"/>
                                            <w:textAlignment w:val="baseline"/>
                                            <w:rPr>
                                              <w:rFonts w:asciiTheme="minorBidi" w:hAnsiTheme="minorBidi"/>
                                            </w:rPr>
                                          </w:pPr>
                                          <w:r w:rsidRPr="005B12F8">
                                            <w:rPr>
                                              <w:rFonts w:asciiTheme="minorBidi" w:hAnsiTheme="minorBidi"/>
                                            </w:rPr>
                                            <w:t>Berdasarkan karakteristik inflasi yang masih rentan terhadap </w:t>
                                          </w:r>
                                          <w:r w:rsidRPr="005B12F8">
                                            <w:rPr>
                                              <w:rStyle w:val="Emphasis"/>
                                              <w:rFonts w:asciiTheme="minorBidi" w:hAnsiTheme="minorBidi"/>
                                              <w:bdr w:val="none" w:sz="0" w:space="0" w:color="auto" w:frame="1"/>
                                            </w:rPr>
                                            <w:t>shocks</w:t>
                                          </w:r>
                                          <w:r w:rsidRPr="005B12F8">
                                            <w:rPr>
                                              <w:rFonts w:asciiTheme="minorBidi" w:hAnsiTheme="minorBidi"/>
                                            </w:rPr>
                                            <w:t xml:space="preserve"> dari sisi suplai tersebut, untuk mencapai inflasi yang rendah, pengendalian inflasi memerlukan kerjasama dan koordinasi lintas instansi, yakni antara Bank Indonesia dengan Pemerintah. </w:t>
                                          </w:r>
                                        </w:p>
                                      </w:tc>
                                    </w:tr>
                                  </w:tbl>
                                  <w:p w:rsidR="00525163" w:rsidRPr="005B12F8" w:rsidRDefault="00525163" w:rsidP="004D6F96">
                                    <w:pPr>
                                      <w:spacing w:after="0" w:line="240" w:lineRule="auto"/>
                                      <w:rPr>
                                        <w:rFonts w:asciiTheme="minorBidi" w:hAnsiTheme="minorBidi" w:cs="Times New Roman"/>
                                        <w:sz w:val="24"/>
                                        <w:szCs w:val="24"/>
                                      </w:rPr>
                                    </w:pPr>
                                  </w:p>
                                </w:tc>
                              </w:tr>
                            </w:tbl>
                            <w:p w:rsidR="00525163" w:rsidRPr="005B12F8" w:rsidRDefault="00525163" w:rsidP="004D6F96">
                              <w:pPr>
                                <w:spacing w:after="0" w:line="240" w:lineRule="auto"/>
                                <w:rPr>
                                  <w:rFonts w:asciiTheme="minorBidi" w:hAnsiTheme="minorBidi" w:cs="Times New Roman"/>
                                  <w:sz w:val="24"/>
                                  <w:szCs w:val="24"/>
                                </w:rPr>
                              </w:pPr>
                            </w:p>
                          </w:tc>
                        </w:tr>
                      </w:tbl>
                      <w:p w:rsidR="00525163" w:rsidRDefault="00525163" w:rsidP="004D6F96">
                        <w:pPr>
                          <w:shd w:val="clear" w:color="auto" w:fill="FFFFFF"/>
                          <w:spacing w:after="0" w:line="240" w:lineRule="auto"/>
                          <w:textAlignment w:val="baseline"/>
                          <w:rPr>
                            <w:rFonts w:asciiTheme="minorBidi" w:eastAsia="Times New Roman" w:hAnsiTheme="minorBidi" w:cs="Times New Roman"/>
                            <w:sz w:val="24"/>
                            <w:szCs w:val="24"/>
                            <w:lang w:val="en-US" w:eastAsia="id-ID"/>
                          </w:rPr>
                        </w:pPr>
                      </w:p>
                      <w:p w:rsidR="0032164A" w:rsidRDefault="0032164A" w:rsidP="004D6F96">
                        <w:pPr>
                          <w:shd w:val="clear" w:color="auto" w:fill="FFFFFF"/>
                          <w:spacing w:after="0" w:line="240" w:lineRule="auto"/>
                          <w:textAlignment w:val="baseline"/>
                          <w:rPr>
                            <w:rFonts w:asciiTheme="minorBidi" w:eastAsia="Times New Roman" w:hAnsiTheme="minorBidi" w:cs="Times New Roman"/>
                            <w:sz w:val="24"/>
                            <w:szCs w:val="24"/>
                            <w:lang w:val="en-US" w:eastAsia="id-ID"/>
                          </w:rPr>
                        </w:pPr>
                      </w:p>
                      <w:p w:rsidR="0032164A" w:rsidRPr="0032164A" w:rsidRDefault="0032164A" w:rsidP="004D6F96">
                        <w:pPr>
                          <w:shd w:val="clear" w:color="auto" w:fill="FFFFFF"/>
                          <w:spacing w:after="0" w:line="240" w:lineRule="auto"/>
                          <w:textAlignment w:val="baseline"/>
                          <w:rPr>
                            <w:rFonts w:asciiTheme="minorBidi" w:eastAsia="Times New Roman" w:hAnsiTheme="minorBidi" w:cs="Times New Roman"/>
                            <w:sz w:val="24"/>
                            <w:szCs w:val="24"/>
                            <w:lang w:val="en-US" w:eastAsia="id-ID"/>
                          </w:rPr>
                        </w:pPr>
                      </w:p>
                      <w:p w:rsidR="00525163" w:rsidRPr="005B12F8" w:rsidRDefault="00525163" w:rsidP="004D6F96">
                        <w:pPr>
                          <w:shd w:val="clear" w:color="auto" w:fill="FFFFFF"/>
                          <w:spacing w:after="0" w:line="240" w:lineRule="auto"/>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b/>
                            <w:bCs/>
                            <w:sz w:val="24"/>
                            <w:szCs w:val="24"/>
                            <w:bdr w:val="none" w:sz="0" w:space="0" w:color="auto" w:frame="1"/>
                            <w:lang w:eastAsia="id-ID"/>
                          </w:rPr>
                          <w:t>Tentang Tim Pengendalian Inflasi Nasional (TPIN)</w:t>
                        </w:r>
                      </w:p>
                      <w:p w:rsidR="00525163" w:rsidRPr="005B12F8" w:rsidRDefault="00525163" w:rsidP="00CB7415">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Pembentukan TPIN didasarkan pada Keputusan Presiden Republik Indonesia Nomor 23 Tahun 2017. TPIN dibentuk berdasarkan pertimbangan bahwa dalam rangka untuk menjaga laju inflasi yang rendah dan stabil, sebagai prasyarat pertumbuhan ekonomi yang berkesinambungan yang pada akhirnya memberikan manfaat bagi peningkatan kesejahteraan masyarakat, perlu dilakukan koordinasi dan sinkronisasi kebijakan pengendalian inflasi untuk mencapai sasaran inflasi yang ditetapkan pemerintah.</w:t>
                        </w:r>
                      </w:p>
                      <w:p w:rsidR="00525163" w:rsidRPr="005B12F8" w:rsidRDefault="00525163" w:rsidP="00CB7415">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Tim Pengendalian Inflasi Nasional terdiri dari:</w:t>
                        </w:r>
                      </w:p>
                      <w:p w:rsidR="00525163" w:rsidRPr="005B12F8" w:rsidRDefault="00525163" w:rsidP="00CB7415">
                        <w:pPr>
                          <w:numPr>
                            <w:ilvl w:val="0"/>
                            <w:numId w:val="24"/>
                          </w:num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Tim Pengendalian Inflasi Pusat;</w:t>
                        </w:r>
                      </w:p>
                      <w:p w:rsidR="00525163" w:rsidRPr="005B12F8" w:rsidRDefault="00525163" w:rsidP="00CB7415">
                        <w:pPr>
                          <w:numPr>
                            <w:ilvl w:val="0"/>
                            <w:numId w:val="24"/>
                          </w:num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Tim Pengendalian Inflasi Daerah Provinsi; dan</w:t>
                        </w:r>
                      </w:p>
                      <w:p w:rsidR="00525163" w:rsidRPr="005B12F8" w:rsidRDefault="00525163" w:rsidP="00CB7415">
                        <w:pPr>
                          <w:numPr>
                            <w:ilvl w:val="0"/>
                            <w:numId w:val="24"/>
                          </w:num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Tim Pengendalian Inflasi Daerah Kabupaten/ Kota.</w:t>
                        </w:r>
                      </w:p>
                      <w:p w:rsidR="00525163" w:rsidRPr="005B12F8" w:rsidRDefault="00525163" w:rsidP="004D6F96">
                        <w:pPr>
                          <w:shd w:val="clear" w:color="auto" w:fill="FFFFFF"/>
                          <w:spacing w:after="0" w:line="240" w:lineRule="auto"/>
                          <w:textAlignment w:val="baseline"/>
                          <w:rPr>
                            <w:rFonts w:asciiTheme="minorBidi" w:eastAsia="Times New Roman" w:hAnsiTheme="minorBidi" w:cs="Times New Roman"/>
                            <w:sz w:val="24"/>
                            <w:szCs w:val="24"/>
                            <w:lang w:eastAsia="id-ID"/>
                          </w:rPr>
                        </w:pPr>
                      </w:p>
                      <w:p w:rsidR="00525163" w:rsidRPr="005B12F8" w:rsidRDefault="00525163" w:rsidP="00CB7415">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b/>
                            <w:bCs/>
                            <w:sz w:val="24"/>
                            <w:szCs w:val="24"/>
                            <w:bdr w:val="none" w:sz="0" w:space="0" w:color="auto" w:frame="1"/>
                            <w:lang w:eastAsia="id-ID"/>
                          </w:rPr>
                          <w:t>JIBOR (Jakarta </w:t>
                        </w:r>
                        <w:r w:rsidRPr="005B12F8">
                          <w:rPr>
                            <w:rFonts w:asciiTheme="minorBidi" w:eastAsia="Times New Roman" w:hAnsiTheme="minorBidi" w:cs="Times New Roman"/>
                            <w:b/>
                            <w:bCs/>
                            <w:i/>
                            <w:iCs/>
                            <w:sz w:val="24"/>
                            <w:szCs w:val="24"/>
                            <w:bdr w:val="none" w:sz="0" w:space="0" w:color="auto" w:frame="1"/>
                            <w:lang w:eastAsia="id-ID"/>
                          </w:rPr>
                          <w:t>Interbank Offered Rate</w:t>
                        </w:r>
                        <w:r w:rsidRPr="005B12F8">
                          <w:rPr>
                            <w:rFonts w:asciiTheme="minorBidi" w:eastAsia="Times New Roman" w:hAnsiTheme="minorBidi" w:cs="Times New Roman"/>
                            <w:b/>
                            <w:bCs/>
                            <w:sz w:val="24"/>
                            <w:szCs w:val="24"/>
                            <w:bdr w:val="none" w:sz="0" w:space="0" w:color="auto" w:frame="1"/>
                            <w:lang w:eastAsia="id-ID"/>
                          </w:rPr>
                          <w:t>)</w:t>
                        </w:r>
                      </w:p>
                      <w:p w:rsidR="00525163" w:rsidRPr="005B12F8" w:rsidRDefault="00525163" w:rsidP="00CB7415">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JIBOR dimaksudkan berperan sebagai </w:t>
                        </w:r>
                        <w:r w:rsidRPr="005B12F8">
                          <w:rPr>
                            <w:rFonts w:asciiTheme="minorBidi" w:eastAsia="Times New Roman" w:hAnsiTheme="minorBidi" w:cs="Times New Roman"/>
                            <w:i/>
                            <w:iCs/>
                            <w:sz w:val="24"/>
                            <w:szCs w:val="24"/>
                            <w:bdr w:val="none" w:sz="0" w:space="0" w:color="auto" w:frame="1"/>
                            <w:lang w:eastAsia="id-ID"/>
                          </w:rPr>
                          <w:t>benchmark rate </w:t>
                        </w:r>
                        <w:r w:rsidRPr="005B12F8">
                          <w:rPr>
                            <w:rFonts w:asciiTheme="minorBidi" w:eastAsia="Times New Roman" w:hAnsiTheme="minorBidi" w:cs="Times New Roman"/>
                            <w:sz w:val="24"/>
                            <w:szCs w:val="24"/>
                            <w:lang w:eastAsia="id-ID"/>
                          </w:rPr>
                          <w:t>pasar uang, yakni cerminan suku bunga yang terjadi di pasar uang, yang dihitung secara periodik, tersedia dan dapat digunakan oleh para pelaku pasar sebagai referensi seperti penetapan suku bunga pinjaman, penetapan harga instrumen keuangan, dan pengukuran kinerja instrumen keuangan. JIBOR adalah rata-rata dari suku bunga indikasi pinjaman tanpa agunan yang ditawarkan dan dimaksudkan untuk ditransaksikan oleh bank kontributor kepada bank kontributor lain untuk meminjamkan rupiah di Indonesia, untuk tenor di atas </w:t>
                        </w:r>
                        <w:r w:rsidRPr="005B12F8">
                          <w:rPr>
                            <w:rFonts w:asciiTheme="minorBidi" w:eastAsia="Times New Roman" w:hAnsiTheme="minorBidi" w:cs="Times New Roman"/>
                            <w:i/>
                            <w:iCs/>
                            <w:sz w:val="24"/>
                            <w:szCs w:val="24"/>
                            <w:bdr w:val="none" w:sz="0" w:space="0" w:color="auto" w:frame="1"/>
                            <w:lang w:eastAsia="id-ID"/>
                          </w:rPr>
                          <w:t>overnight</w:t>
                        </w:r>
                        <w:r w:rsidRPr="005B12F8">
                          <w:rPr>
                            <w:rFonts w:asciiTheme="minorBidi" w:eastAsia="Times New Roman" w:hAnsiTheme="minorBidi" w:cs="Times New Roman"/>
                            <w:sz w:val="24"/>
                            <w:szCs w:val="24"/>
                            <w:lang w:eastAsia="id-ID"/>
                          </w:rPr>
                          <w:t>.</w:t>
                        </w:r>
                      </w:p>
                      <w:p w:rsidR="00525163" w:rsidRPr="005B12F8" w:rsidRDefault="00525163" w:rsidP="00CB7415">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JIBOR ditetapkan oleh Bank Indonesia berdasarkan kuotasi suku bunga indikasi pinjaman yang ditawarkan oleh Bank Kontributor (</w:t>
                        </w:r>
                        <w:r w:rsidRPr="005B12F8">
                          <w:rPr>
                            <w:rFonts w:asciiTheme="minorBidi" w:eastAsia="Times New Roman" w:hAnsiTheme="minorBidi" w:cs="Times New Roman"/>
                            <w:i/>
                            <w:iCs/>
                            <w:sz w:val="24"/>
                            <w:szCs w:val="24"/>
                            <w:bdr w:val="none" w:sz="0" w:space="0" w:color="auto" w:frame="1"/>
                            <w:lang w:eastAsia="id-ID"/>
                          </w:rPr>
                          <w:t>offer rate</w:t>
                        </w:r>
                        <w:r w:rsidRPr="005B12F8">
                          <w:rPr>
                            <w:rFonts w:asciiTheme="minorBidi" w:eastAsia="Times New Roman" w:hAnsiTheme="minorBidi" w:cs="Times New Roman"/>
                            <w:sz w:val="24"/>
                            <w:szCs w:val="24"/>
                            <w:lang w:eastAsia="id-ID"/>
                          </w:rPr>
                          <w:t>), yang disampaikan oleh Bank Kontributor kepada Bank Indonesia dengan </w:t>
                        </w:r>
                        <w:r w:rsidRPr="005B12F8">
                          <w:rPr>
                            <w:rFonts w:asciiTheme="minorBidi" w:eastAsia="Times New Roman" w:hAnsiTheme="minorBidi" w:cs="Times New Roman"/>
                            <w:i/>
                            <w:iCs/>
                            <w:sz w:val="24"/>
                            <w:szCs w:val="24"/>
                            <w:bdr w:val="none" w:sz="0" w:space="0" w:color="auto" w:frame="1"/>
                            <w:lang w:eastAsia="id-ID"/>
                          </w:rPr>
                          <w:t>window time </w:t>
                        </w:r>
                        <w:r w:rsidRPr="005B12F8">
                          <w:rPr>
                            <w:rFonts w:asciiTheme="minorBidi" w:eastAsia="Times New Roman" w:hAnsiTheme="minorBidi" w:cs="Times New Roman"/>
                            <w:sz w:val="24"/>
                            <w:szCs w:val="24"/>
                            <w:lang w:eastAsia="id-ID"/>
                          </w:rPr>
                          <w:t>penyampaian sejak pukul 07.00 WIB s/d 09.30 WIB (dan koreksi </w:t>
                        </w:r>
                        <w:r w:rsidRPr="005B12F8">
                          <w:rPr>
                            <w:rFonts w:asciiTheme="minorBidi" w:eastAsia="Times New Roman" w:hAnsiTheme="minorBidi" w:cs="Times New Roman"/>
                            <w:i/>
                            <w:iCs/>
                            <w:sz w:val="24"/>
                            <w:szCs w:val="24"/>
                            <w:bdr w:val="none" w:sz="0" w:space="0" w:color="auto" w:frame="1"/>
                            <w:lang w:eastAsia="id-ID"/>
                          </w:rPr>
                          <w:t>online </w:t>
                        </w:r>
                        <w:r w:rsidRPr="005B12F8">
                          <w:rPr>
                            <w:rFonts w:asciiTheme="minorBidi" w:eastAsia="Times New Roman" w:hAnsiTheme="minorBidi" w:cs="Times New Roman"/>
                            <w:sz w:val="24"/>
                            <w:szCs w:val="24"/>
                            <w:lang w:eastAsia="id-ID"/>
                          </w:rPr>
                          <w:t>hingga pukul 09.45 WIB). Penetapan JIBOR dilakukan dengan menghitung rata-rata sederhana (</w:t>
                        </w:r>
                        <w:r w:rsidRPr="005B12F8">
                          <w:rPr>
                            <w:rFonts w:asciiTheme="minorBidi" w:eastAsia="Times New Roman" w:hAnsiTheme="minorBidi" w:cs="Times New Roman"/>
                            <w:i/>
                            <w:iCs/>
                            <w:sz w:val="24"/>
                            <w:szCs w:val="24"/>
                            <w:bdr w:val="none" w:sz="0" w:space="0" w:color="auto" w:frame="1"/>
                            <w:lang w:eastAsia="id-ID"/>
                          </w:rPr>
                          <w:t>simple average</w:t>
                        </w:r>
                        <w:r w:rsidRPr="005B12F8">
                          <w:rPr>
                            <w:rFonts w:asciiTheme="minorBidi" w:eastAsia="Times New Roman" w:hAnsiTheme="minorBidi" w:cs="Times New Roman"/>
                            <w:sz w:val="24"/>
                            <w:szCs w:val="24"/>
                            <w:lang w:eastAsia="id-ID"/>
                          </w:rPr>
                          <w:t>) dari kuotasi yang disampaikan oleh Bank Kontributor, setelah mengeluarkan 15% data </w:t>
                        </w:r>
                        <w:r w:rsidRPr="005B12F8">
                          <w:rPr>
                            <w:rFonts w:asciiTheme="minorBidi" w:eastAsia="Times New Roman" w:hAnsiTheme="minorBidi" w:cs="Times New Roman"/>
                            <w:i/>
                            <w:iCs/>
                            <w:sz w:val="24"/>
                            <w:szCs w:val="24"/>
                            <w:bdr w:val="none" w:sz="0" w:space="0" w:color="auto" w:frame="1"/>
                            <w:lang w:eastAsia="id-ID"/>
                          </w:rPr>
                          <w:t>offer rate </w:t>
                        </w:r>
                        <w:r w:rsidRPr="005B12F8">
                          <w:rPr>
                            <w:rFonts w:asciiTheme="minorBidi" w:eastAsia="Times New Roman" w:hAnsiTheme="minorBidi" w:cs="Times New Roman"/>
                            <w:sz w:val="24"/>
                            <w:szCs w:val="24"/>
                            <w:lang w:eastAsia="id-ID"/>
                          </w:rPr>
                          <w:t>tertinggi dan 15% data </w:t>
                        </w:r>
                        <w:r w:rsidRPr="005B12F8">
                          <w:rPr>
                            <w:rFonts w:asciiTheme="minorBidi" w:eastAsia="Times New Roman" w:hAnsiTheme="minorBidi" w:cs="Times New Roman"/>
                            <w:i/>
                            <w:iCs/>
                            <w:sz w:val="24"/>
                            <w:szCs w:val="24"/>
                            <w:bdr w:val="none" w:sz="0" w:space="0" w:color="auto" w:frame="1"/>
                            <w:lang w:eastAsia="id-ID"/>
                          </w:rPr>
                          <w:t>offer rate</w:t>
                        </w:r>
                        <w:r w:rsidRPr="005B12F8">
                          <w:rPr>
                            <w:rFonts w:asciiTheme="minorBidi" w:eastAsia="Times New Roman" w:hAnsiTheme="minorBidi" w:cs="Times New Roman"/>
                            <w:sz w:val="24"/>
                            <w:szCs w:val="24"/>
                            <w:lang w:eastAsia="id-ID"/>
                          </w:rPr>
                          <w:t> terendah.</w:t>
                        </w:r>
                      </w:p>
                      <w:p w:rsidR="00525163" w:rsidRPr="005B12F8" w:rsidRDefault="00525163" w:rsidP="00CB7415">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JIBOR dipublikasikan oleh Bank Indonesia pada setiap hari kerja pukul 10.00 WIB di situs web Bank Indonesia. JIBOR terdiri dari tenor </w:t>
                        </w:r>
                        <w:r w:rsidRPr="005B12F8">
                          <w:rPr>
                            <w:rFonts w:asciiTheme="minorBidi" w:eastAsia="Times New Roman" w:hAnsiTheme="minorBidi" w:cs="Times New Roman"/>
                            <w:i/>
                            <w:iCs/>
                            <w:sz w:val="24"/>
                            <w:szCs w:val="24"/>
                            <w:bdr w:val="none" w:sz="0" w:space="0" w:color="auto" w:frame="1"/>
                            <w:lang w:eastAsia="id-ID"/>
                          </w:rPr>
                          <w:t>overnight</w:t>
                        </w:r>
                        <w:r w:rsidRPr="005B12F8">
                          <w:rPr>
                            <w:rFonts w:asciiTheme="minorBidi" w:eastAsia="Times New Roman" w:hAnsiTheme="minorBidi" w:cs="Times New Roman"/>
                            <w:sz w:val="24"/>
                            <w:szCs w:val="24"/>
                            <w:lang w:eastAsia="id-ID"/>
                          </w:rPr>
                          <w:t>, 1 minggu, 1 bulan, 3 bulan, 6 bulan dan 12 bulan.</w:t>
                        </w:r>
                      </w:p>
                      <w:p w:rsidR="00525163" w:rsidRPr="005B12F8" w:rsidRDefault="00525163" w:rsidP="00CB7415">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Untuk meningkatkan kredibilitas JIBOR sebagai suku bunga referensi dalam transaksi keuangan, Bank Indonesia melakukan sejumlah penyempurnaan. Per tanggal 2 Januari 2019, pembentukan JIBOR diatur sehingga sedapat mungkin mengacu pada data transaksi dan diterapkan dengan tata kelola yang baik, dengan harapan dapat lebih mencerminkan suku bunga yang terjadi di pasar. Hal ini sejalan dengan </w:t>
                        </w:r>
                        <w:r w:rsidRPr="005B12F8">
                          <w:rPr>
                            <w:rFonts w:asciiTheme="minorBidi" w:eastAsia="Times New Roman" w:hAnsiTheme="minorBidi" w:cs="Times New Roman"/>
                            <w:i/>
                            <w:iCs/>
                            <w:sz w:val="24"/>
                            <w:szCs w:val="24"/>
                            <w:bdr w:val="none" w:sz="0" w:space="0" w:color="auto" w:frame="1"/>
                            <w:lang w:eastAsia="id-ID"/>
                          </w:rPr>
                          <w:t>global</w:t>
                        </w:r>
                        <w:r w:rsidRPr="005B12F8">
                          <w:rPr>
                            <w:rFonts w:asciiTheme="minorBidi" w:eastAsia="Times New Roman" w:hAnsiTheme="minorBidi" w:cs="Times New Roman"/>
                            <w:sz w:val="24"/>
                            <w:szCs w:val="24"/>
                            <w:lang w:eastAsia="id-ID"/>
                          </w:rPr>
                          <w:t> </w:t>
                        </w:r>
                        <w:r w:rsidRPr="005B12F8">
                          <w:rPr>
                            <w:rFonts w:asciiTheme="minorBidi" w:eastAsia="Times New Roman" w:hAnsiTheme="minorBidi" w:cs="Times New Roman"/>
                            <w:i/>
                            <w:iCs/>
                            <w:sz w:val="24"/>
                            <w:szCs w:val="24"/>
                            <w:bdr w:val="none" w:sz="0" w:space="0" w:color="auto" w:frame="1"/>
                            <w:lang w:eastAsia="id-ID"/>
                          </w:rPr>
                          <w:t>best practices </w:t>
                        </w:r>
                        <w:r w:rsidRPr="005B12F8">
                          <w:rPr>
                            <w:rFonts w:asciiTheme="minorBidi" w:eastAsia="Times New Roman" w:hAnsiTheme="minorBidi" w:cs="Times New Roman"/>
                            <w:sz w:val="24"/>
                            <w:szCs w:val="24"/>
                            <w:lang w:eastAsia="id-ID"/>
                          </w:rPr>
                          <w:t>terkait suku bunga referensi keuangan yang dituangkan dalam prinsip </w:t>
                        </w:r>
                        <w:r w:rsidRPr="005B12F8">
                          <w:rPr>
                            <w:rFonts w:asciiTheme="minorBidi" w:eastAsia="Times New Roman" w:hAnsiTheme="minorBidi" w:cs="Times New Roman"/>
                            <w:i/>
                            <w:iCs/>
                            <w:sz w:val="24"/>
                            <w:szCs w:val="24"/>
                            <w:bdr w:val="none" w:sz="0" w:space="0" w:color="auto" w:frame="1"/>
                            <w:lang w:eastAsia="id-ID"/>
                          </w:rPr>
                          <w:t>International Organization of Securities Commissions </w:t>
                        </w:r>
                        <w:r w:rsidRPr="005B12F8">
                          <w:rPr>
                            <w:rFonts w:asciiTheme="minorBidi" w:eastAsia="Times New Roman" w:hAnsiTheme="minorBidi" w:cs="Times New Roman"/>
                            <w:sz w:val="24"/>
                            <w:szCs w:val="24"/>
                            <w:lang w:eastAsia="id-ID"/>
                          </w:rPr>
                          <w:t>(IOSCO) untuk suku bunga referensi keuangan (IOSCO </w:t>
                        </w:r>
                        <w:r w:rsidRPr="005B12F8">
                          <w:rPr>
                            <w:rFonts w:asciiTheme="minorBidi" w:eastAsia="Times New Roman" w:hAnsiTheme="minorBidi" w:cs="Times New Roman"/>
                            <w:i/>
                            <w:iCs/>
                            <w:sz w:val="24"/>
                            <w:szCs w:val="24"/>
                            <w:bdr w:val="none" w:sz="0" w:space="0" w:color="auto" w:frame="1"/>
                            <w:lang w:eastAsia="id-ID"/>
                          </w:rPr>
                          <w:t xml:space="preserve">principles for </w:t>
                        </w:r>
                        <w:r w:rsidRPr="005B12F8">
                          <w:rPr>
                            <w:rFonts w:asciiTheme="minorBidi" w:eastAsia="Times New Roman" w:hAnsiTheme="minorBidi" w:cs="Times New Roman"/>
                            <w:i/>
                            <w:iCs/>
                            <w:sz w:val="24"/>
                            <w:szCs w:val="24"/>
                            <w:bdr w:val="none" w:sz="0" w:space="0" w:color="auto" w:frame="1"/>
                            <w:lang w:eastAsia="id-ID"/>
                          </w:rPr>
                          <w:lastRenderedPageBreak/>
                          <w:t>financial benchmarks</w:t>
                        </w:r>
                        <w:r w:rsidRPr="005B12F8">
                          <w:rPr>
                            <w:rFonts w:asciiTheme="minorBidi" w:eastAsia="Times New Roman" w:hAnsiTheme="minorBidi" w:cs="Times New Roman"/>
                            <w:sz w:val="24"/>
                            <w:szCs w:val="24"/>
                            <w:lang w:eastAsia="id-ID"/>
                          </w:rPr>
                          <w:t>).</w:t>
                        </w:r>
                      </w:p>
                      <w:p w:rsidR="00525163" w:rsidRPr="005B12F8" w:rsidRDefault="00525163" w:rsidP="00CB7415">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Peningkatan kredibilitas </w:t>
                        </w:r>
                        <w:r w:rsidRPr="005B12F8">
                          <w:rPr>
                            <w:rFonts w:asciiTheme="minorBidi" w:eastAsia="Times New Roman" w:hAnsiTheme="minorBidi" w:cs="Times New Roman"/>
                            <w:i/>
                            <w:iCs/>
                            <w:sz w:val="24"/>
                            <w:szCs w:val="24"/>
                            <w:bdr w:val="none" w:sz="0" w:space="0" w:color="auto" w:frame="1"/>
                            <w:lang w:eastAsia="id-ID"/>
                          </w:rPr>
                          <w:t>benchmark rate </w:t>
                        </w:r>
                        <w:r w:rsidRPr="005B12F8">
                          <w:rPr>
                            <w:rFonts w:asciiTheme="minorBidi" w:eastAsia="Times New Roman" w:hAnsiTheme="minorBidi" w:cs="Times New Roman"/>
                            <w:sz w:val="24"/>
                            <w:szCs w:val="24"/>
                            <w:lang w:eastAsia="id-ID"/>
                          </w:rPr>
                          <w:t>pasar uang diharapkan mampu mengurangi kompleksitas kontrak keuangan dengan mendorong standardisasi dalam penggunaan suku bunga acuan pada surat utang dan/atau pinjaman dengan suku bunga mengambang, derivatif suku bunga rupiah, dan untuk valuasi instrumen keuangan.</w:t>
                        </w:r>
                      </w:p>
                      <w:p w:rsidR="0032164A" w:rsidRPr="0032164A" w:rsidRDefault="0032164A" w:rsidP="004D6F96">
                        <w:pPr>
                          <w:pStyle w:val="Heading1"/>
                          <w:shd w:val="clear" w:color="auto" w:fill="FFFFFF"/>
                          <w:spacing w:before="0" w:beforeAutospacing="0" w:after="0" w:afterAutospacing="0"/>
                          <w:textAlignment w:val="baseline"/>
                          <w:rPr>
                            <w:rFonts w:asciiTheme="minorBidi" w:hAnsiTheme="minorBidi"/>
                            <w:sz w:val="24"/>
                            <w:szCs w:val="24"/>
                            <w:lang w:val="en-US"/>
                          </w:rPr>
                        </w:pPr>
                      </w:p>
                      <w:tbl>
                        <w:tblPr>
                          <w:tblW w:w="5000" w:type="pct"/>
                          <w:tblCellMar>
                            <w:left w:w="0" w:type="dxa"/>
                            <w:right w:w="0" w:type="dxa"/>
                          </w:tblCellMar>
                          <w:tblLook w:val="04A0" w:firstRow="1" w:lastRow="0" w:firstColumn="1" w:lastColumn="0" w:noHBand="0" w:noVBand="1"/>
                        </w:tblPr>
                        <w:tblGrid>
                          <w:gridCol w:w="9026"/>
                        </w:tblGrid>
                        <w:tr w:rsidR="00525163" w:rsidRPr="005B12F8" w:rsidTr="00525163">
                          <w:tc>
                            <w:tcPr>
                              <w:tcW w:w="5000" w:type="pct"/>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25163" w:rsidRPr="005B12F8">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25163" w:rsidRPr="005B12F8">
                                      <w:tc>
                                        <w:tcPr>
                                          <w:tcW w:w="0" w:type="auto"/>
                                          <w:tcBorders>
                                            <w:top w:val="nil"/>
                                            <w:left w:val="nil"/>
                                            <w:bottom w:val="nil"/>
                                            <w:right w:val="nil"/>
                                          </w:tcBorders>
                                          <w:vAlign w:val="bottom"/>
                                          <w:hideMark/>
                                        </w:tcPr>
                                        <w:p w:rsidR="00525163" w:rsidRPr="005B12F8" w:rsidRDefault="00525163" w:rsidP="00CB7415">
                                          <w:pPr>
                                            <w:pStyle w:val="NormalWeb"/>
                                            <w:spacing w:before="0" w:beforeAutospacing="0" w:after="0" w:afterAutospacing="0"/>
                                            <w:textAlignment w:val="baseline"/>
                                            <w:rPr>
                                              <w:rFonts w:asciiTheme="minorBidi" w:hAnsiTheme="minorBidi"/>
                                            </w:rPr>
                                          </w:pPr>
                                          <w:r w:rsidRPr="005B12F8">
                                            <w:rPr>
                                              <w:rStyle w:val="Strong"/>
                                              <w:rFonts w:asciiTheme="minorBidi" w:hAnsiTheme="minorBidi"/>
                                              <w:bdr w:val="none" w:sz="0" w:space="0" w:color="auto" w:frame="1"/>
                                            </w:rPr>
                                            <w:t>BI 7-day (</w:t>
                                          </w:r>
                                          <w:r w:rsidRPr="005B12F8">
                                            <w:rPr>
                                              <w:rStyle w:val="Emphasis"/>
                                              <w:rFonts w:asciiTheme="minorBidi" w:hAnsiTheme="minorBidi"/>
                                              <w:b/>
                                              <w:bCs/>
                                              <w:bdr w:val="none" w:sz="0" w:space="0" w:color="auto" w:frame="1"/>
                                            </w:rPr>
                                            <w:t>Reverse</w:t>
                                          </w:r>
                                          <w:r w:rsidRPr="005B12F8">
                                            <w:rPr>
                                              <w:rStyle w:val="Strong"/>
                                              <w:rFonts w:asciiTheme="minorBidi" w:hAnsiTheme="minorBidi"/>
                                              <w:bdr w:val="none" w:sz="0" w:space="0" w:color="auto" w:frame="1"/>
                                            </w:rPr>
                                            <w:t>) </w:t>
                                          </w:r>
                                          <w:r w:rsidRPr="005B12F8">
                                            <w:rPr>
                                              <w:rStyle w:val="Emphasis"/>
                                              <w:rFonts w:asciiTheme="minorBidi" w:hAnsiTheme="minorBidi"/>
                                              <w:b/>
                                              <w:bCs/>
                                              <w:bdr w:val="none" w:sz="0" w:space="0" w:color="auto" w:frame="1"/>
                                            </w:rPr>
                                            <w:t>Repo Rate</w:t>
                                          </w:r>
                                        </w:p>
                                        <w:p w:rsidR="00525163" w:rsidRPr="005B12F8" w:rsidRDefault="00525163" w:rsidP="00CB7415">
                                          <w:pPr>
                                            <w:pStyle w:val="NormalWeb"/>
                                            <w:spacing w:before="0" w:beforeAutospacing="0" w:after="0" w:afterAutospacing="0"/>
                                            <w:ind w:firstLine="567"/>
                                            <w:jc w:val="both"/>
                                            <w:textAlignment w:val="baseline"/>
                                            <w:rPr>
                                              <w:rFonts w:asciiTheme="minorBidi" w:hAnsiTheme="minorBidi"/>
                                            </w:rPr>
                                          </w:pPr>
                                          <w:r w:rsidRPr="005B12F8">
                                            <w:rPr>
                                              <w:rFonts w:asciiTheme="minorBidi" w:hAnsiTheme="minorBidi"/>
                                            </w:rPr>
                                            <w:t>Bank Indonesia melakukan penguatan kerangka operasi moneter dengan mengimplementasikan suku bunga acuan atau suku bunga kebijakan baru yaitu BI 7-Day (Reverse) Repo Rate, yang berlaku efektif sejak 19 Agustus 2016, menggantikan BI Rate. Penguatan kerangka operasi moneter ini merupakan hal yang lazim dilakukan di berbagai bank sentral dan merupakan best practice internasional dalam pelaksanaan operasi moneter. Kerangka operasi moneter senantiasa disempurnakan untuk memperkuat efektivitas kebijakan dalam mencapai sasaran inflasi yang ditetapkan. Instrumen BI 7-day (</w:t>
                                          </w:r>
                                          <w:r w:rsidRPr="005B12F8">
                                            <w:rPr>
                                              <w:rStyle w:val="Emphasis"/>
                                              <w:rFonts w:asciiTheme="minorBidi" w:hAnsiTheme="minorBidi"/>
                                              <w:bdr w:val="none" w:sz="0" w:space="0" w:color="auto" w:frame="1"/>
                                            </w:rPr>
                                            <w:t>Reverse</w:t>
                                          </w:r>
                                          <w:r w:rsidRPr="005B12F8">
                                            <w:rPr>
                                              <w:rFonts w:asciiTheme="minorBidi" w:hAnsiTheme="minorBidi"/>
                                            </w:rPr>
                                            <w:t>) </w:t>
                                          </w:r>
                                          <w:r w:rsidRPr="005B12F8">
                                            <w:rPr>
                                              <w:rStyle w:val="Emphasis"/>
                                              <w:rFonts w:asciiTheme="minorBidi" w:hAnsiTheme="minorBidi"/>
                                              <w:bdr w:val="none" w:sz="0" w:space="0" w:color="auto" w:frame="1"/>
                                            </w:rPr>
                                            <w:t>Repo Rate</w:t>
                                          </w:r>
                                          <w:r w:rsidRPr="005B12F8">
                                            <w:rPr>
                                              <w:rFonts w:asciiTheme="minorBidi" w:hAnsiTheme="minorBidi"/>
                                            </w:rPr>
                                            <w:t> digunakan sebagai suku bunga kebijakan baru karena dapat secara cepat memengaruhi pasar uang, perbankan dan sektor riil. Instrumen BI 7-Day Repo Rate sebagai acuan yang baru memiliki hubungan yang lebih kuat ke suku bunga pasar uang, sifatnya transaksional atau diperdagangkan di pasar, dan mendorong pendalaman pasar keuangan, khususnya penggunaan instrumen repo.</w:t>
                                          </w:r>
                                        </w:p>
                                        <w:p w:rsidR="00525163" w:rsidRPr="005B12F8" w:rsidRDefault="00525163" w:rsidP="00CB7415">
                                          <w:pPr>
                                            <w:pStyle w:val="NormalWeb"/>
                                            <w:spacing w:before="0" w:beforeAutospacing="0" w:after="0" w:afterAutospacing="0"/>
                                            <w:ind w:firstLine="567"/>
                                            <w:jc w:val="both"/>
                                            <w:textAlignment w:val="baseline"/>
                                            <w:rPr>
                                              <w:rFonts w:asciiTheme="minorBidi" w:hAnsiTheme="minorBidi"/>
                                            </w:rPr>
                                          </w:pPr>
                                          <w:r w:rsidRPr="005B12F8">
                                            <w:rPr>
                                              <w:rFonts w:asciiTheme="minorBidi" w:hAnsiTheme="minorBidi"/>
                                            </w:rPr>
                                            <w:t>Dengan penggunaan instrumen BI 7-day (Reverse) Repo Rate sebagai suku bunga kebijakan baru, terdapat tiga dampak utama yang diharapkan. </w:t>
                                          </w:r>
                                          <w:r w:rsidRPr="005B12F8">
                                            <w:rPr>
                                              <w:rStyle w:val="Strong"/>
                                              <w:rFonts w:asciiTheme="minorBidi" w:hAnsiTheme="minorBidi"/>
                                              <w:u w:val="single"/>
                                              <w:bdr w:val="none" w:sz="0" w:space="0" w:color="auto" w:frame="1"/>
                                            </w:rPr>
                                            <w:t>Pertama</w:t>
                                          </w:r>
                                          <w:r w:rsidRPr="005B12F8">
                                            <w:rPr>
                                              <w:rFonts w:asciiTheme="minorBidi" w:hAnsiTheme="minorBidi"/>
                                            </w:rPr>
                                            <w:t>, menguatnya sinyal kebijakan moneter dengan suku bunga (Reverse) Repo Rate 7 hari sebagai acuan utama di pasar keuangan. </w:t>
                                          </w:r>
                                          <w:r w:rsidRPr="005B12F8">
                                            <w:rPr>
                                              <w:rStyle w:val="Strong"/>
                                              <w:rFonts w:asciiTheme="minorBidi" w:hAnsiTheme="minorBidi"/>
                                              <w:u w:val="single"/>
                                              <w:bdr w:val="none" w:sz="0" w:space="0" w:color="auto" w:frame="1"/>
                                            </w:rPr>
                                            <w:t>Kedua</w:t>
                                          </w:r>
                                          <w:r w:rsidRPr="005B12F8">
                                            <w:rPr>
                                              <w:rFonts w:asciiTheme="minorBidi" w:hAnsiTheme="minorBidi"/>
                                            </w:rPr>
                                            <w:t>, meningkatnya efektivitas transmisi kebijakan moneter melalui pengaruhnya pada pergerakan suku bunga pasar uang dan suku bunga perbankan. </w:t>
                                          </w:r>
                                          <w:r w:rsidRPr="005B12F8">
                                            <w:rPr>
                                              <w:rStyle w:val="Strong"/>
                                              <w:rFonts w:asciiTheme="minorBidi" w:hAnsiTheme="minorBidi"/>
                                              <w:u w:val="single"/>
                                              <w:bdr w:val="none" w:sz="0" w:space="0" w:color="auto" w:frame="1"/>
                                            </w:rPr>
                                            <w:t>Ketiga</w:t>
                                          </w:r>
                                          <w:r w:rsidRPr="005B12F8">
                                            <w:rPr>
                                              <w:rFonts w:asciiTheme="minorBidi" w:hAnsiTheme="minorBidi"/>
                                            </w:rPr>
                                            <w:t>, terbentuknya pasar keuangan yang lebih dalam, khususnya transaksi dan pembentukan struktur suku bunga di pasar uang antarbank (PUAB) untuk tenor 3-12 bulan.</w:t>
                                          </w:r>
                                        </w:p>
                                      </w:tc>
                                    </w:tr>
                                  </w:tbl>
                                  <w:p w:rsidR="00525163" w:rsidRPr="005B12F8" w:rsidRDefault="00525163" w:rsidP="00CB7415">
                                    <w:pPr>
                                      <w:spacing w:after="0" w:line="240" w:lineRule="auto"/>
                                      <w:ind w:firstLine="567"/>
                                      <w:rPr>
                                        <w:rFonts w:asciiTheme="minorBidi" w:hAnsiTheme="minorBidi" w:cs="Times New Roman"/>
                                        <w:sz w:val="24"/>
                                        <w:szCs w:val="24"/>
                                      </w:rPr>
                                    </w:pPr>
                                  </w:p>
                                </w:tc>
                              </w:tr>
                            </w:tbl>
                            <w:p w:rsidR="00525163" w:rsidRPr="005B12F8" w:rsidRDefault="00525163" w:rsidP="00CB7415">
                              <w:pPr>
                                <w:spacing w:after="0" w:line="240" w:lineRule="auto"/>
                                <w:ind w:firstLine="567"/>
                                <w:rPr>
                                  <w:rFonts w:asciiTheme="minorBidi" w:hAnsiTheme="minorBidi" w:cs="Times New Roman"/>
                                  <w:sz w:val="24"/>
                                  <w:szCs w:val="24"/>
                                </w:rPr>
                              </w:pPr>
                            </w:p>
                          </w:tc>
                        </w:tr>
                      </w:tbl>
                      <w:p w:rsidR="00525163" w:rsidRPr="005B12F8" w:rsidRDefault="00525163" w:rsidP="00CB7415">
                        <w:pPr>
                          <w:shd w:val="clear" w:color="auto" w:fill="FFFFFF"/>
                          <w:spacing w:after="0" w:line="240" w:lineRule="auto"/>
                          <w:ind w:firstLine="567"/>
                          <w:textAlignment w:val="baseline"/>
                          <w:rPr>
                            <w:rFonts w:asciiTheme="minorBidi" w:eastAsia="Times New Roman" w:hAnsiTheme="minorBidi" w:cs="Times New Roman"/>
                            <w:sz w:val="24"/>
                            <w:szCs w:val="24"/>
                            <w:lang w:eastAsia="id-ID"/>
                          </w:rPr>
                        </w:pPr>
                        <w:r w:rsidRPr="005B12F8">
                          <w:rPr>
                            <w:rFonts w:asciiTheme="minorBidi" w:eastAsia="Times New Roman" w:hAnsiTheme="minorBidi" w:cs="Times New Roman"/>
                            <w:sz w:val="24"/>
                            <w:szCs w:val="24"/>
                            <w:lang w:eastAsia="id-ID"/>
                          </w:rPr>
                          <w:t> </w:t>
                        </w:r>
                      </w:p>
                      <w:p w:rsidR="00B72AEB" w:rsidRPr="00082137" w:rsidRDefault="00B72AEB" w:rsidP="004D6F9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b/>
                            <w:bCs/>
                            <w:sz w:val="24"/>
                            <w:szCs w:val="24"/>
                            <w:bdr w:val="none" w:sz="0" w:space="0" w:color="auto" w:frame="1"/>
                            <w:lang w:eastAsia="id-ID"/>
                          </w:rPr>
                          <w:t>OPERASI MONETER</w:t>
                        </w:r>
                      </w:p>
                      <w:p w:rsidR="00B72AEB" w:rsidRPr="00082137" w:rsidRDefault="00B72AEB" w:rsidP="004D6F9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 </w:t>
                        </w:r>
                      </w:p>
                      <w:p w:rsidR="00B72AEB" w:rsidRPr="00082137" w:rsidRDefault="00B72AEB" w:rsidP="00CB7415">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Dalam rangka mencapai sasaran akhir kebijakan moneter, Bank Indonesia menerapkan kerangka kebijakan moneter melalui pengendalian suku bunga (target suku bunga). Stance kebijakan moneter dicerminkan oleh penetapan suku bunga kebijakan (BI 7DDR). Dalam tataran operasional, BI 7DDR tercermin dari suku bunga pasar uang jangka pendek yang merupakan sasaran operasional kebijakan moneter. Sejak 9 Juni 2008, BI menggunakan suku bunga Pasar Uang Antara Bank (PUAB)1 overnight (o/n) sebagai sasaran operasional kebijakan moneter.</w:t>
                        </w:r>
                      </w:p>
                      <w:p w:rsidR="00B72AEB" w:rsidRPr="00082137" w:rsidRDefault="00B72AEB" w:rsidP="00CB7415">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Agar pergerakan suku bunga PUAB o/n tidak terlalu melebar dari anchor-nya (BI 7DDR), Bank Indonesia selalu berusaha untuk menjaga dan memenuhi kebutuhan likuiditas perbankan secara seimbang sehingga terbentuk suku bunga yang wajar dan stabil melalui pelaksanaan operasi moneter (OM).</w:t>
                        </w:r>
                      </w:p>
                      <w:p w:rsidR="00B72AEB" w:rsidRPr="00082137" w:rsidRDefault="00B72AEB" w:rsidP="00CB7415">
                        <w:pPr>
                          <w:shd w:val="clear" w:color="auto" w:fill="FFFFFF"/>
                          <w:spacing w:after="0" w:line="240" w:lineRule="auto"/>
                          <w:ind w:firstLine="567"/>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 xml:space="preserve">Operasi Moneter adalah pelaksanaan kebijakan moneter oleh Bank Indonesia dalam rangka pengendalian moneter melalui Operasi Pasar Terbuka dan Standing Facilities. Operasi Pasar Terbuka yang selanjutnya disebut OPT merupakan kegiatan transaksi di pasar uang yang dilakukan atas inisiatif Bank Indonesia dalam rangka mengurangi (smoothing) volatilitas suku bunga PUAB o/n.  Sementara instrumen Standing Facilities merupakan penyediaan dana rupiah (lending facility) dari Bank Indonesia kepada Bank dan penempatan dana rupiah  (deposit facility) </w:t>
                        </w:r>
                        <w:r w:rsidRPr="00082137">
                          <w:rPr>
                            <w:rFonts w:asciiTheme="minorBidi" w:eastAsia="Times New Roman" w:hAnsiTheme="minorBidi" w:cs="Times New Roman"/>
                            <w:sz w:val="24"/>
                            <w:szCs w:val="24"/>
                            <w:lang w:eastAsia="id-ID"/>
                          </w:rPr>
                          <w:lastRenderedPageBreak/>
                          <w:t>oleh Bank di Bank Indonesia dalam rangka membentuk koridor suku bunga di PUAB o/n. OPT dilakukan atas inisiatif Bank Indonesia, sementara Standing Facilities dilakukan atas inisiatif bank.</w:t>
                        </w:r>
                      </w:p>
                      <w:p w:rsidR="00B72AEB" w:rsidRPr="004D6F96" w:rsidRDefault="00B72AEB" w:rsidP="004D6F96">
                        <w:pPr>
                          <w:shd w:val="clear" w:color="auto" w:fill="FFFFFF"/>
                          <w:spacing w:after="0" w:line="240" w:lineRule="auto"/>
                          <w:jc w:val="center"/>
                          <w:textAlignment w:val="baseline"/>
                          <w:rPr>
                            <w:rFonts w:asciiTheme="minorBidi" w:eastAsia="Times New Roman" w:hAnsiTheme="minorBidi" w:cs="Times New Roman"/>
                            <w:color w:val="333333"/>
                            <w:sz w:val="24"/>
                            <w:szCs w:val="24"/>
                            <w:lang w:eastAsia="id-ID"/>
                          </w:rPr>
                        </w:pPr>
                        <w:r w:rsidRPr="004D6F96">
                          <w:rPr>
                            <w:rFonts w:asciiTheme="minorBidi" w:eastAsia="Times New Roman" w:hAnsiTheme="minorBidi" w:cs="Times New Roman"/>
                            <w:noProof/>
                            <w:color w:val="333333"/>
                            <w:sz w:val="24"/>
                            <w:szCs w:val="24"/>
                            <w:lang w:val="en-US"/>
                          </w:rPr>
                          <mc:AlternateContent>
                            <mc:Choice Requires="wps">
                              <w:drawing>
                                <wp:inline distT="0" distB="0" distL="0" distR="0" wp14:anchorId="2A356AE7" wp14:editId="5E52EC45">
                                  <wp:extent cx="302895" cy="302895"/>
                                  <wp:effectExtent l="0" t="0" r="0" b="0"/>
                                  <wp:docPr id="8" name="Rectangle 8" descr="instrumen_om.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instrumen_om.pn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" filled="f" stroked="f">
                                  <o:lock v:ext="edit" aspectratio="t"/>
                                  <w10:anchorlock/>
                                </v:rect>
                              </w:pict>
                            </mc:Fallback>
                          </mc:AlternateContent>
                        </w:r>
                      </w:p>
                      <w:p w:rsidR="00B72AEB" w:rsidRPr="004D6F96" w:rsidRDefault="00B72AEB" w:rsidP="004D6F96">
                        <w:pPr>
                          <w:shd w:val="clear" w:color="auto" w:fill="FFFFFF"/>
                          <w:spacing w:after="0" w:line="240" w:lineRule="auto"/>
                          <w:textAlignment w:val="baseline"/>
                          <w:rPr>
                            <w:rFonts w:asciiTheme="minorBidi" w:eastAsia="Times New Roman" w:hAnsiTheme="minorBidi" w:cs="Times New Roman"/>
                            <w:color w:val="333333"/>
                            <w:sz w:val="24"/>
                            <w:szCs w:val="24"/>
                            <w:lang w:eastAsia="id-ID"/>
                          </w:rPr>
                        </w:pPr>
                        <w:r w:rsidRPr="004D6F96">
                          <w:rPr>
                            <w:rFonts w:asciiTheme="minorBidi" w:hAnsiTheme="minorBidi" w:cs="Times New Roman"/>
                            <w:noProof/>
                            <w:sz w:val="24"/>
                            <w:szCs w:val="24"/>
                            <w:lang w:val="en-US"/>
                          </w:rPr>
                          <w:drawing>
                            <wp:inline distT="0" distB="0" distL="0" distR="0" wp14:anchorId="2E3EF06E" wp14:editId="3F9A6BE0">
                              <wp:extent cx="5238965" cy="2984422"/>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38096" cy="2983927"/>
                                      </a:xfrm>
                                      <a:prstGeom prst="rect">
                                        <a:avLst/>
                                      </a:prstGeom>
                                    </pic:spPr>
                                  </pic:pic>
                                </a:graphicData>
                              </a:graphic>
                            </wp:inline>
                          </w:drawing>
                        </w:r>
                      </w:p>
                      <w:p w:rsidR="00525163" w:rsidRPr="004D6F96" w:rsidRDefault="00525163" w:rsidP="004D6F96">
                        <w:pPr>
                          <w:spacing w:after="0" w:line="240" w:lineRule="auto"/>
                          <w:textAlignment w:val="baseline"/>
                          <w:rPr>
                            <w:rFonts w:asciiTheme="minorBidi" w:eastAsia="Times New Roman" w:hAnsiTheme="minorBidi" w:cs="Times New Roman"/>
                            <w:sz w:val="24"/>
                            <w:szCs w:val="24"/>
                            <w:bdr w:val="none" w:sz="0" w:space="0" w:color="auto" w:frame="1"/>
                            <w:lang w:eastAsia="id-ID"/>
                          </w:rPr>
                        </w:pPr>
                      </w:p>
                    </w:tc>
                  </w:tr>
                </w:tbl>
                <w:p w:rsidR="00B77E6C" w:rsidRPr="004D6F96" w:rsidRDefault="00B77E6C" w:rsidP="004D6F96">
                  <w:pPr>
                    <w:spacing w:after="0" w:line="240" w:lineRule="auto"/>
                    <w:rPr>
                      <w:rFonts w:asciiTheme="minorBidi" w:eastAsia="Times New Roman" w:hAnsiTheme="minorBidi" w:cs="Times New Roman"/>
                      <w:sz w:val="24"/>
                      <w:szCs w:val="24"/>
                      <w:lang w:eastAsia="id-ID"/>
                    </w:rPr>
                  </w:pPr>
                </w:p>
              </w:tc>
            </w:tr>
          </w:tbl>
          <w:p w:rsidR="00B77E6C" w:rsidRPr="004D6F96" w:rsidRDefault="00B77E6C" w:rsidP="004D6F96">
            <w:pPr>
              <w:spacing w:after="0" w:line="240" w:lineRule="auto"/>
              <w:rPr>
                <w:rFonts w:asciiTheme="minorBidi" w:eastAsia="Times New Roman" w:hAnsiTheme="minorBidi" w:cs="Times New Roman"/>
                <w:sz w:val="24"/>
                <w:szCs w:val="24"/>
                <w:lang w:eastAsia="id-ID"/>
              </w:rPr>
            </w:pPr>
          </w:p>
        </w:tc>
      </w:tr>
    </w:tbl>
    <w:p w:rsidR="00B72AEB" w:rsidRPr="00B3769C" w:rsidRDefault="00B72AEB" w:rsidP="00B3769C">
      <w:pPr>
        <w:shd w:val="clear" w:color="auto" w:fill="FFFFFF"/>
        <w:spacing w:after="0" w:line="240" w:lineRule="auto"/>
        <w:jc w:val="both"/>
        <w:textAlignment w:val="baseline"/>
        <w:rPr>
          <w:rFonts w:asciiTheme="minorBidi" w:eastAsia="Times New Roman" w:hAnsiTheme="minorBidi" w:cs="Times New Roman"/>
          <w:sz w:val="24"/>
          <w:szCs w:val="24"/>
          <w:bdr w:val="none" w:sz="0" w:space="0" w:color="auto" w:frame="1"/>
          <w:lang w:eastAsia="id-ID"/>
        </w:rPr>
      </w:pPr>
      <w:r w:rsidRPr="00B3769C">
        <w:rPr>
          <w:rFonts w:asciiTheme="minorBidi" w:eastAsia="Times New Roman" w:hAnsiTheme="minorBidi" w:cs="Times New Roman"/>
          <w:b/>
          <w:bCs/>
          <w:sz w:val="24"/>
          <w:szCs w:val="24"/>
          <w:bdr w:val="none" w:sz="0" w:space="0" w:color="auto" w:frame="1"/>
          <w:lang w:eastAsia="id-ID"/>
        </w:rPr>
        <w:lastRenderedPageBreak/>
        <w:t>Keterangan :</w:t>
      </w:r>
      <w:r w:rsidRPr="00B3769C">
        <w:rPr>
          <w:rFonts w:asciiTheme="minorBidi" w:eastAsia="Times New Roman" w:hAnsiTheme="minorBidi" w:cs="Times New Roman"/>
          <w:sz w:val="24"/>
          <w:szCs w:val="24"/>
          <w:bdr w:val="none" w:sz="0" w:space="0" w:color="auto" w:frame="1"/>
          <w:lang w:eastAsia="id-ID"/>
        </w:rPr>
        <w:br/>
        <w:t>PUAB atau Pasar Uang Antar Bank adalah kegiatan pinjam meminjam dana antara satu bank dengan bank lainnya. Suku bunga PUAB merupakan harga yang terbentuk dari kesepakatan pihak yang meminjam dan meminjamkan dana. Kegiatan di PUAB dilakukan melalui mekanisme over the counter (OTC) yaitu terciptanya kesepakatan antara peminjam dan pemilik dana yang dilakukan tidak melalui lantai bursa. Transaksi PUAB dapat berjangka waktu dari satu hari kerja (overnight) sampai dengan satu tahun.</w:t>
      </w:r>
    </w:p>
    <w:p w:rsidR="00B3769C" w:rsidRDefault="00B3769C" w:rsidP="004D6F96">
      <w:pPr>
        <w:shd w:val="clear" w:color="auto" w:fill="FFFFFF"/>
        <w:spacing w:after="0" w:line="240" w:lineRule="auto"/>
        <w:jc w:val="center"/>
        <w:textAlignment w:val="baseline"/>
        <w:rPr>
          <w:rFonts w:asciiTheme="minorBidi" w:eastAsia="Times New Roman" w:hAnsiTheme="minorBidi" w:cs="Times New Roman"/>
          <w:b/>
          <w:bCs/>
          <w:color w:val="333333"/>
          <w:sz w:val="24"/>
          <w:szCs w:val="24"/>
          <w:bdr w:val="none" w:sz="0" w:space="0" w:color="auto" w:frame="1"/>
          <w:lang w:eastAsia="id-ID"/>
        </w:rPr>
      </w:pPr>
    </w:p>
    <w:p w:rsidR="00B72AEB" w:rsidRPr="00082137" w:rsidRDefault="00B72AEB" w:rsidP="004D6F9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b/>
          <w:bCs/>
          <w:sz w:val="24"/>
          <w:szCs w:val="24"/>
          <w:bdr w:val="none" w:sz="0" w:space="0" w:color="auto" w:frame="1"/>
          <w:lang w:eastAsia="id-ID"/>
        </w:rPr>
        <w:t>OPERASI PASAR TERBUKA</w:t>
      </w:r>
    </w:p>
    <w:p w:rsidR="00B72AEB" w:rsidRPr="00082137" w:rsidRDefault="00B72AEB" w:rsidP="004D6F96">
      <w:pPr>
        <w:shd w:val="clear" w:color="auto" w:fill="FFFFFF"/>
        <w:spacing w:after="0" w:line="240" w:lineRule="auto"/>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 </w:t>
      </w:r>
    </w:p>
    <w:p w:rsidR="00B72AEB" w:rsidRPr="00082137" w:rsidRDefault="00B72AEB" w:rsidP="004D6F96">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Operasi Pasar Terbuka (OPT) adalah kegiatan transaksi di pasar uang dalam rangka Operasi Moneter yang dilakukan oleh Bank Indonesia dengan Peserta Operasi Moneter. Operasi Pasar Terbuka dilakukan untuk mencapai target suku bunga PUAB O/N sebagai sasaran operasional kebijakan moneter. OPT terdiri dari 2 jenis, yaitu: </w:t>
      </w:r>
    </w:p>
    <w:p w:rsidR="00B72AEB" w:rsidRPr="00082137" w:rsidRDefault="00B72AEB" w:rsidP="004D6F96">
      <w:pPr>
        <w:shd w:val="clear" w:color="auto" w:fill="FFFFFF"/>
        <w:spacing w:after="0" w:line="240" w:lineRule="auto"/>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 </w:t>
      </w:r>
    </w:p>
    <w:p w:rsidR="00B72AEB" w:rsidRPr="00082137" w:rsidRDefault="00B72AEB" w:rsidP="004D6F96">
      <w:pPr>
        <w:numPr>
          <w:ilvl w:val="0"/>
          <w:numId w:val="11"/>
        </w:numPr>
        <w:shd w:val="clear" w:color="auto" w:fill="FFFFFF"/>
        <w:spacing w:after="0" w:line="240" w:lineRule="auto"/>
        <w:ind w:left="300"/>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b/>
          <w:bCs/>
          <w:sz w:val="24"/>
          <w:szCs w:val="24"/>
          <w:bdr w:val="none" w:sz="0" w:space="0" w:color="auto" w:frame="1"/>
          <w:lang w:eastAsia="id-ID"/>
        </w:rPr>
        <w:t>OPT Absorpsi</w:t>
      </w:r>
    </w:p>
    <w:p w:rsidR="00B72AEB" w:rsidRPr="00082137" w:rsidRDefault="00B72AEB" w:rsidP="004D6F96">
      <w:pPr>
        <w:shd w:val="clear" w:color="auto" w:fill="FFFFFF"/>
        <w:spacing w:after="0" w:line="240" w:lineRule="auto"/>
        <w:ind w:left="300"/>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OPT absorpsi dilakukan apabila dari perkiraan perhitungan likuiditas maupun dari indikator suku bunga di PUAB diperkirakan mengalami kelebihan likuiditas, yang diantaranya diindikasikan melalui penurunan suku bunga PUAB secara tajam. Instrumen yang digunakan dalam OPT absorpsi ini adalah (i) Penerbitan SBI dan SBIS, (ii) Penerbitan SDBI (iii)Transaksi Reverse Repo SBN, (iv) Transaksi Penjualan SBN secara outright, (v) Penempatan berjangka (Term Deposit) dalam rupiah di Bank Indonesia dan (vi) Jual Valuta Asing terhadap Rupiah (dalam bentuk spot, forward atau swap). Peserta pada OPT Absorpsi adalah bank dan/atau lembaga perantara yang melakukan transaksi untuk kepentingan bank.</w:t>
      </w:r>
    </w:p>
    <w:p w:rsidR="00B72AEB" w:rsidRPr="00082137" w:rsidRDefault="00B72AEB" w:rsidP="004D6F96">
      <w:pPr>
        <w:shd w:val="clear" w:color="auto" w:fill="FFFFFF"/>
        <w:spacing w:after="0" w:line="240" w:lineRule="auto"/>
        <w:ind w:left="300"/>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lastRenderedPageBreak/>
        <w:t> </w:t>
      </w:r>
    </w:p>
    <w:p w:rsidR="00B72AEB" w:rsidRPr="00082137" w:rsidRDefault="00B72AEB" w:rsidP="004D6F96">
      <w:pPr>
        <w:numPr>
          <w:ilvl w:val="0"/>
          <w:numId w:val="11"/>
        </w:numPr>
        <w:shd w:val="clear" w:color="auto" w:fill="FFFFFF"/>
        <w:spacing w:after="0" w:line="240" w:lineRule="auto"/>
        <w:ind w:left="300"/>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b/>
          <w:bCs/>
          <w:sz w:val="24"/>
          <w:szCs w:val="24"/>
          <w:bdr w:val="none" w:sz="0" w:space="0" w:color="auto" w:frame="1"/>
          <w:lang w:eastAsia="id-ID"/>
        </w:rPr>
        <w:t>OPT Injeksi</w:t>
      </w:r>
    </w:p>
    <w:p w:rsidR="00B72AEB" w:rsidRPr="00082137" w:rsidRDefault="00B72AEB" w:rsidP="004D6F96">
      <w:pPr>
        <w:shd w:val="clear" w:color="auto" w:fill="FFFFFF"/>
        <w:spacing w:after="0" w:line="240" w:lineRule="auto"/>
        <w:ind w:left="300"/>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OPT injeksi dilakukan apabila dari perkiraan perhitungan likuiditas maupun dari indikator suku bunga di PUAB diperkirakan mengalami kekurangan likuiditas, yang diantaranya diindikasikan melalui peningkatan suku bunga PUAB secara tajam. Instrumen yang digunakan dalam OPT injeksi ini adalah (i) Transaksi Repo, (ii) Transaksi Pembelian SBN secara outright dan (iii) Beli Valuta Asing terhadap Rupiah (dalam bentuk spot, forward atau swap). Peserta pada OPT Injeksi adalah bank dan/atau lembaga perantara yang melakukan transaksi untuk kepentingan bank.</w:t>
      </w:r>
    </w:p>
    <w:p w:rsidR="00B72AEB" w:rsidRPr="00082137" w:rsidRDefault="00B72AEB" w:rsidP="004D6F96">
      <w:pPr>
        <w:shd w:val="clear" w:color="auto" w:fill="FFFFFF"/>
        <w:spacing w:after="0" w:line="240" w:lineRule="auto"/>
        <w:ind w:left="300"/>
        <w:jc w:val="both"/>
        <w:textAlignment w:val="baseline"/>
        <w:rPr>
          <w:rFonts w:asciiTheme="minorBidi" w:eastAsia="Times New Roman" w:hAnsiTheme="minorBidi" w:cs="Times New Roman"/>
          <w:sz w:val="24"/>
          <w:szCs w:val="24"/>
          <w:lang w:eastAsia="id-ID"/>
        </w:rPr>
      </w:pPr>
    </w:p>
    <w:p w:rsidR="00B72AEB" w:rsidRPr="00082137" w:rsidRDefault="00B72AEB" w:rsidP="004D6F96">
      <w:pPr>
        <w:shd w:val="clear" w:color="auto" w:fill="FFFFFF"/>
        <w:spacing w:after="0" w:line="240" w:lineRule="auto"/>
        <w:jc w:val="center"/>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b/>
          <w:bCs/>
          <w:sz w:val="24"/>
          <w:szCs w:val="24"/>
          <w:bdr w:val="none" w:sz="0" w:space="0" w:color="auto" w:frame="1"/>
          <w:lang w:eastAsia="id-ID"/>
        </w:rPr>
        <w:t>STANDING FACILITIES</w:t>
      </w:r>
      <w:r w:rsidRPr="00082137">
        <w:rPr>
          <w:rFonts w:asciiTheme="minorBidi" w:eastAsia="Times New Roman" w:hAnsiTheme="minorBidi" w:cs="Times New Roman"/>
          <w:b/>
          <w:bCs/>
          <w:sz w:val="24"/>
          <w:szCs w:val="24"/>
          <w:bdr w:val="none" w:sz="0" w:space="0" w:color="auto" w:frame="1"/>
          <w:lang w:eastAsia="id-ID"/>
        </w:rPr>
        <w:br/>
      </w:r>
      <w:r w:rsidRPr="00082137">
        <w:rPr>
          <w:rFonts w:asciiTheme="minorBidi" w:eastAsia="Times New Roman" w:hAnsiTheme="minorBidi" w:cs="Times New Roman"/>
          <w:sz w:val="24"/>
          <w:szCs w:val="24"/>
          <w:lang w:eastAsia="id-ID"/>
        </w:rPr>
        <w:t> </w:t>
      </w:r>
    </w:p>
    <w:p w:rsidR="00B72AEB" w:rsidRPr="00082137" w:rsidRDefault="00B72AEB" w:rsidP="008E67F3">
      <w:pPr>
        <w:shd w:val="clear" w:color="auto" w:fill="FFFFFF"/>
        <w:spacing w:after="0" w:line="240" w:lineRule="auto"/>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Koridor Suku Bunga atau Standing Facilities (SF) adalah kegiatan penyediaan dana rupiah (lending facility) dari Bank Indonesia kepada Bank dan penempatan dana rupiah (deposit facility) oleh Bank di Bank Indonesia dalam rangka Operasi Moneter. Penyediaan Standing Facilities berfungsi untuk membatasi volatilitas suku bunga PUAB O/N. Standing facilities terdiri dari 2 jenis, yaitu:</w:t>
      </w:r>
    </w:p>
    <w:p w:rsidR="00B72AEB" w:rsidRPr="00082137" w:rsidRDefault="00B72AEB" w:rsidP="008E67F3">
      <w:pPr>
        <w:numPr>
          <w:ilvl w:val="0"/>
          <w:numId w:val="12"/>
        </w:numPr>
        <w:shd w:val="clear" w:color="auto" w:fill="FFFFFF"/>
        <w:spacing w:after="0" w:line="240" w:lineRule="auto"/>
        <w:ind w:left="300"/>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Penyediaan dana rupiah dari Bank Indonesia kepada Bank (lending facility), yaitu fasilitas bagi bank yang mengalami kesulitan likuiditas dengan cara merepokan SBI/SDBI/SBN yang dimilikinya kepada Bank Indonesia; dan</w:t>
      </w:r>
    </w:p>
    <w:p w:rsidR="00B72AEB" w:rsidRPr="00082137" w:rsidRDefault="00B72AEB" w:rsidP="008E67F3">
      <w:pPr>
        <w:numPr>
          <w:ilvl w:val="0"/>
          <w:numId w:val="12"/>
        </w:numPr>
        <w:shd w:val="clear" w:color="auto" w:fill="FFFFFF"/>
        <w:spacing w:after="0" w:line="240" w:lineRule="auto"/>
        <w:ind w:left="300"/>
        <w:jc w:val="both"/>
        <w:textAlignment w:val="baseline"/>
        <w:rPr>
          <w:rFonts w:asciiTheme="minorBidi" w:eastAsia="Times New Roman" w:hAnsiTheme="minorBidi" w:cs="Times New Roman"/>
          <w:sz w:val="24"/>
          <w:szCs w:val="24"/>
          <w:lang w:eastAsia="id-ID"/>
        </w:rPr>
      </w:pPr>
      <w:r w:rsidRPr="00082137">
        <w:rPr>
          <w:rFonts w:asciiTheme="minorBidi" w:eastAsia="Times New Roman" w:hAnsiTheme="minorBidi" w:cs="Times New Roman"/>
          <w:sz w:val="24"/>
          <w:szCs w:val="24"/>
          <w:lang w:eastAsia="id-ID"/>
        </w:rPr>
        <w:t> Penempatan dana rupiah oleh Bank di Bank Indonesia (deposit facility), yaitu fasilitas bagi bank yang memiliki kelebihan likuiditas dengan cara menempatkan dana yang dimilikinya kepada Bank Indonesia.</w:t>
      </w:r>
    </w:p>
    <w:p w:rsidR="00B72AEB" w:rsidRPr="00B3769C" w:rsidRDefault="00B72AEB" w:rsidP="004D6F96">
      <w:pPr>
        <w:shd w:val="clear" w:color="auto" w:fill="FFFFFF"/>
        <w:spacing w:after="0" w:line="240" w:lineRule="auto"/>
        <w:ind w:left="300"/>
        <w:jc w:val="both"/>
        <w:textAlignment w:val="baseline"/>
        <w:rPr>
          <w:rFonts w:asciiTheme="minorBidi" w:eastAsia="Times New Roman" w:hAnsiTheme="minorBidi" w:cs="Times New Roman"/>
          <w:color w:val="000000" w:themeColor="text1"/>
          <w:sz w:val="24"/>
          <w:szCs w:val="24"/>
          <w:lang w:eastAsia="id-ID"/>
        </w:rPr>
      </w:pPr>
    </w:p>
    <w:p w:rsidR="00B3769C" w:rsidRDefault="00B72AEB" w:rsidP="00B3769C">
      <w:pPr>
        <w:spacing w:after="0" w:line="240" w:lineRule="auto"/>
        <w:jc w:val="center"/>
        <w:textAlignment w:val="baseline"/>
        <w:rPr>
          <w:rFonts w:asciiTheme="minorBidi" w:eastAsia="Times New Roman" w:hAnsiTheme="minorBidi" w:cs="Times New Roman"/>
          <w:color w:val="000000" w:themeColor="text1"/>
          <w:sz w:val="24"/>
          <w:szCs w:val="24"/>
          <w:bdr w:val="none" w:sz="0" w:space="0" w:color="auto" w:frame="1"/>
          <w:shd w:val="clear" w:color="auto" w:fill="FFFFFF"/>
          <w:lang w:eastAsia="id-ID"/>
        </w:rPr>
      </w:pPr>
      <w:r w:rsidRPr="00B3769C">
        <w:rPr>
          <w:rFonts w:asciiTheme="minorBidi" w:eastAsia="Times New Roman" w:hAnsiTheme="minorBidi" w:cs="Times New Roman"/>
          <w:b/>
          <w:bCs/>
          <w:color w:val="000000" w:themeColor="text1"/>
          <w:sz w:val="24"/>
          <w:szCs w:val="24"/>
          <w:bdr w:val="none" w:sz="0" w:space="0" w:color="auto" w:frame="1"/>
          <w:shd w:val="clear" w:color="auto" w:fill="FFFFFF"/>
          <w:lang w:eastAsia="id-ID"/>
        </w:rPr>
        <w:t>KRITERIA SURAT BERHARGA &amp; COUNTERPARTY</w:t>
      </w:r>
    </w:p>
    <w:p w:rsidR="00B3769C" w:rsidRDefault="00B3769C" w:rsidP="00B3769C">
      <w:pPr>
        <w:spacing w:after="0" w:line="240" w:lineRule="auto"/>
        <w:jc w:val="center"/>
        <w:textAlignment w:val="baseline"/>
        <w:rPr>
          <w:rFonts w:asciiTheme="minorBidi" w:eastAsia="Times New Roman" w:hAnsiTheme="minorBidi" w:cs="Times New Roman"/>
          <w:color w:val="000000" w:themeColor="text1"/>
          <w:sz w:val="24"/>
          <w:szCs w:val="24"/>
          <w:bdr w:val="none" w:sz="0" w:space="0" w:color="auto" w:frame="1"/>
          <w:shd w:val="clear" w:color="auto" w:fill="FFFFFF"/>
          <w:lang w:eastAsia="id-ID"/>
        </w:rPr>
      </w:pPr>
    </w:p>
    <w:p w:rsidR="00B72AEB" w:rsidRPr="00B3769C" w:rsidRDefault="00B72AEB" w:rsidP="00B3769C">
      <w:pPr>
        <w:spacing w:after="0" w:line="240" w:lineRule="auto"/>
        <w:jc w:val="both"/>
        <w:textAlignment w:val="baseline"/>
        <w:rPr>
          <w:rFonts w:asciiTheme="minorBidi" w:eastAsia="Times New Roman" w:hAnsiTheme="minorBidi" w:cs="Times New Roman"/>
          <w:color w:val="000000" w:themeColor="text1"/>
          <w:sz w:val="24"/>
          <w:szCs w:val="24"/>
          <w:bdr w:val="none" w:sz="0" w:space="0" w:color="auto" w:frame="1"/>
          <w:shd w:val="clear" w:color="auto" w:fill="FFFFFF"/>
          <w:lang w:eastAsia="id-ID"/>
        </w:rPr>
      </w:pPr>
      <w:r w:rsidRPr="00B3769C">
        <w:rPr>
          <w:rFonts w:asciiTheme="minorBidi" w:eastAsia="Times New Roman" w:hAnsiTheme="minorBidi" w:cs="Times New Roman"/>
          <w:b/>
          <w:bCs/>
          <w:color w:val="000000" w:themeColor="text1"/>
          <w:sz w:val="24"/>
          <w:szCs w:val="24"/>
          <w:bdr w:val="none" w:sz="0" w:space="0" w:color="auto" w:frame="1"/>
          <w:lang w:eastAsia="id-ID"/>
        </w:rPr>
        <w:t>Surat Berharga</w:t>
      </w:r>
    </w:p>
    <w:p w:rsidR="00B72AEB" w:rsidRPr="00B3769C" w:rsidRDefault="00B72AEB" w:rsidP="00B3769C">
      <w:pPr>
        <w:shd w:val="clear" w:color="auto" w:fill="FFFFFF"/>
        <w:spacing w:after="0" w:line="240" w:lineRule="auto"/>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Kriteria Surat Berharga yang dapat digunakan dalam Operasi Moneter adalah sebagai berikut :</w:t>
      </w:r>
    </w:p>
    <w:p w:rsidR="00B72AEB" w:rsidRPr="00B3769C" w:rsidRDefault="00B72AEB" w:rsidP="004D6F9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diterbitkan oleh Bank Indonesia dan/atau Negara Republik Indonesia; </w:t>
      </w:r>
    </w:p>
    <w:p w:rsidR="00B72AEB" w:rsidRPr="00B3769C" w:rsidRDefault="00B72AEB" w:rsidP="004D6F9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dalam mata uang rupiah; </w:t>
      </w:r>
    </w:p>
    <w:p w:rsidR="00B72AEB" w:rsidRPr="00B3769C" w:rsidRDefault="00B72AEB" w:rsidP="004D6F9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ditatausahakan di Bank Indonesia Scripless Securities Settlement System (BI-SSSS); </w:t>
      </w:r>
    </w:p>
    <w:p w:rsidR="00B72AEB" w:rsidRPr="00B3769C" w:rsidRDefault="00B72AEB" w:rsidP="004D6F9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tercatat di rekening perdagangan/aktif (active) di BI-SSSS; dan </w:t>
      </w:r>
    </w:p>
    <w:p w:rsidR="00B72AEB" w:rsidRDefault="00B72AEB" w:rsidP="004D6F9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tidak sedang diagunkan.</w:t>
      </w:r>
    </w:p>
    <w:p w:rsidR="00B3769C" w:rsidRPr="00B3769C" w:rsidRDefault="00B3769C" w:rsidP="00B3769C">
      <w:p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p>
    <w:p w:rsidR="00B72AEB" w:rsidRPr="00B3769C" w:rsidRDefault="00B72AEB" w:rsidP="004D6F96">
      <w:pPr>
        <w:numPr>
          <w:ilvl w:val="0"/>
          <w:numId w:val="13"/>
        </w:numPr>
        <w:shd w:val="clear" w:color="auto" w:fill="FFFFFF"/>
        <w:spacing w:after="0" w:line="240" w:lineRule="auto"/>
        <w:ind w:left="3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Jenis-jenis Surat Berharga yang memenuhi kriteria sebagaimana dimaksud di atas terdiri dari :</w:t>
      </w:r>
    </w:p>
    <w:p w:rsidR="00B72AEB" w:rsidRPr="00B3769C" w:rsidRDefault="00B72AEB" w:rsidP="00B3769C">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Sertifikat Bank Indonesia (SBI));</w:t>
      </w:r>
    </w:p>
    <w:p w:rsidR="00B72AEB" w:rsidRPr="00B3769C" w:rsidRDefault="00B72AEB" w:rsidP="004D6F9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Sertifikat Deposito Bank Indonesia (SBI); dan</w:t>
      </w:r>
    </w:p>
    <w:p w:rsidR="00B72AEB" w:rsidRPr="00B3769C" w:rsidRDefault="00B72AEB" w:rsidP="004D6F9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Surat Berharga Negara (SBN), yang terdiri dari :</w:t>
      </w:r>
    </w:p>
    <w:p w:rsidR="00B72AEB" w:rsidRPr="00B3769C" w:rsidRDefault="00B72AEB" w:rsidP="004D6F96">
      <w:pPr>
        <w:numPr>
          <w:ilvl w:val="2"/>
          <w:numId w:val="13"/>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Surat Utang Negara (SUN), yang terdiri dari Surat Perbendaharaan Negara (SPN) dan Obligasi Negara termasuk ZCB dan ORI; dan </w:t>
      </w:r>
    </w:p>
    <w:p w:rsidR="00B72AEB" w:rsidRDefault="00B72AEB" w:rsidP="004D6F96">
      <w:pPr>
        <w:numPr>
          <w:ilvl w:val="2"/>
          <w:numId w:val="13"/>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Surat Berharga Syariah Negara (SBS) termasuk SBSN Ritel. </w:t>
      </w:r>
    </w:p>
    <w:p w:rsidR="00B3769C" w:rsidRPr="00B3769C" w:rsidRDefault="00B3769C" w:rsidP="00B3769C">
      <w:p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p>
    <w:p w:rsidR="00B3769C" w:rsidRDefault="00B72AEB" w:rsidP="00B3769C">
      <w:pPr>
        <w:numPr>
          <w:ilvl w:val="0"/>
          <w:numId w:val="13"/>
        </w:numPr>
        <w:shd w:val="clear" w:color="auto" w:fill="FFFFFF"/>
        <w:spacing w:after="0" w:line="240" w:lineRule="auto"/>
        <w:ind w:left="3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Persyaratan</w:t>
      </w:r>
      <w:r w:rsidR="00B3769C">
        <w:rPr>
          <w:rFonts w:asciiTheme="minorBidi" w:eastAsia="Times New Roman" w:hAnsiTheme="minorBidi" w:cs="Times New Roman"/>
          <w:color w:val="000000" w:themeColor="text1"/>
          <w:sz w:val="24"/>
          <w:szCs w:val="24"/>
          <w:lang w:eastAsia="id-ID"/>
        </w:rPr>
        <w:t xml:space="preserve"> </w:t>
      </w:r>
      <w:r w:rsidRPr="00B3769C">
        <w:rPr>
          <w:rFonts w:asciiTheme="minorBidi" w:eastAsia="Times New Roman" w:hAnsiTheme="minorBidi" w:cs="Times New Roman"/>
          <w:color w:val="000000" w:themeColor="text1"/>
          <w:sz w:val="24"/>
          <w:szCs w:val="24"/>
          <w:lang w:eastAsia="id-ID"/>
        </w:rPr>
        <w:t>Surat Berharga :</w:t>
      </w:r>
    </w:p>
    <w:p w:rsidR="00B72AEB" w:rsidRPr="00B3769C" w:rsidRDefault="00B72AEB" w:rsidP="00B3769C">
      <w:pPr>
        <w:shd w:val="clear" w:color="auto" w:fill="FFFFFF"/>
        <w:spacing w:after="0" w:line="240" w:lineRule="auto"/>
        <w:ind w:left="3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Untuk transaksi repo dalam rangka OPT dan lending facility : </w:t>
      </w:r>
    </w:p>
    <w:p w:rsidR="00B72AEB" w:rsidRPr="00B3769C" w:rsidRDefault="00B72AEB" w:rsidP="004D6F9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SBI, SBIS dan SDBI memiliki sisa jangka waktu paling singkat 2 (dua) hari kerja pada saat second leg transaksi repo.</w:t>
      </w:r>
    </w:p>
    <w:p w:rsidR="00B72AEB" w:rsidRPr="00B3769C" w:rsidRDefault="00B72AEB" w:rsidP="004D6F96">
      <w:pPr>
        <w:numPr>
          <w:ilvl w:val="1"/>
          <w:numId w:val="13"/>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lastRenderedPageBreak/>
        <w:t>SBN Memiliki sisa jangka waktu paling singkat 3 (tiga) hari kerja pada  saat second leg transaksi repo.</w:t>
      </w:r>
    </w:p>
    <w:p w:rsidR="00B72AEB" w:rsidRPr="00B3769C" w:rsidRDefault="00B72AEB" w:rsidP="004D6F96">
      <w:pPr>
        <w:shd w:val="clear" w:color="auto" w:fill="FFFFFF"/>
        <w:spacing w:after="0" w:line="240" w:lineRule="auto"/>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 </w:t>
      </w:r>
    </w:p>
    <w:p w:rsidR="00B72AEB" w:rsidRPr="00B3769C" w:rsidRDefault="00B72AEB" w:rsidP="004D6F96">
      <w:pPr>
        <w:shd w:val="clear" w:color="auto" w:fill="FFFFFF"/>
        <w:spacing w:after="0" w:line="240" w:lineRule="auto"/>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 </w:t>
      </w:r>
      <w:r w:rsidRPr="00B3769C">
        <w:rPr>
          <w:rFonts w:asciiTheme="minorBidi" w:eastAsia="Times New Roman" w:hAnsiTheme="minorBidi" w:cs="Times New Roman"/>
          <w:b/>
          <w:bCs/>
          <w:color w:val="000000" w:themeColor="text1"/>
          <w:sz w:val="24"/>
          <w:szCs w:val="24"/>
          <w:bdr w:val="none" w:sz="0" w:space="0" w:color="auto" w:frame="1"/>
          <w:lang w:eastAsia="id-ID"/>
        </w:rPr>
        <w:t>Peserta &amp; Perantara Operasi Moneter</w:t>
      </w:r>
    </w:p>
    <w:p w:rsidR="00B72AEB" w:rsidRPr="00B3769C" w:rsidRDefault="00B72AEB" w:rsidP="00B3769C">
      <w:pPr>
        <w:shd w:val="clear" w:color="auto" w:fill="FFFFFF"/>
        <w:spacing w:after="0" w:line="240" w:lineRule="auto"/>
        <w:ind w:firstLine="567"/>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Pihak yang dapat menjadi counterparty Bank Indonesia dalam pelaksanaan operasi moneter di pasar keuangan domestik, baik yang melibatkan transaksi rupiah maupun valuta asing harus memenuhi kriteria sebagai berikut:</w:t>
      </w:r>
    </w:p>
    <w:p w:rsidR="00B3769C" w:rsidRDefault="00B3769C" w:rsidP="00B3769C">
      <w:pPr>
        <w:shd w:val="clear" w:color="auto" w:fill="FFFFFF"/>
        <w:spacing w:after="0" w:line="240" w:lineRule="auto"/>
        <w:jc w:val="both"/>
        <w:textAlignment w:val="baseline"/>
        <w:rPr>
          <w:rFonts w:asciiTheme="minorBidi" w:eastAsia="Times New Roman" w:hAnsiTheme="minorBidi" w:cs="Times New Roman"/>
          <w:color w:val="000000" w:themeColor="text1"/>
          <w:sz w:val="24"/>
          <w:szCs w:val="24"/>
          <w:lang w:eastAsia="id-ID"/>
        </w:rPr>
      </w:pPr>
    </w:p>
    <w:p w:rsidR="00B72AEB" w:rsidRPr="00B3769C" w:rsidRDefault="00B72AEB" w:rsidP="00B3769C">
      <w:pPr>
        <w:shd w:val="clear" w:color="auto" w:fill="FFFFFF"/>
        <w:spacing w:after="0" w:line="240" w:lineRule="auto"/>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Peserta Operasi Moneter</w:t>
      </w:r>
    </w:p>
    <w:p w:rsidR="00B72AEB" w:rsidRPr="00B3769C" w:rsidRDefault="00B72AEB" w:rsidP="004D6F96">
      <w:pPr>
        <w:numPr>
          <w:ilvl w:val="1"/>
          <w:numId w:val="14"/>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Peserta Operasi Moneter terdiri dari :</w:t>
      </w:r>
    </w:p>
    <w:p w:rsidR="00B72AEB" w:rsidRPr="00B3769C" w:rsidRDefault="00B72AEB" w:rsidP="004D6F9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Peserta OPT, yaitu Bank dan/atau pihak lain yang ditetapkan oleh Bank Indonesia; dan</w:t>
      </w:r>
    </w:p>
    <w:p w:rsidR="00B72AEB" w:rsidRPr="00B3769C" w:rsidRDefault="00B72AEB" w:rsidP="004D6F9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Peserta Standing Facilities, yaitu bank</w:t>
      </w:r>
    </w:p>
    <w:p w:rsidR="00B72AEB" w:rsidRPr="00B3769C" w:rsidRDefault="00B72AEB" w:rsidP="004D6F96">
      <w:pPr>
        <w:numPr>
          <w:ilvl w:val="1"/>
          <w:numId w:val="14"/>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Persyaratan peserta Operasi Moneter adalah sebagai berikut:</w:t>
      </w:r>
    </w:p>
    <w:p w:rsidR="00B72AEB" w:rsidRPr="00B3769C" w:rsidRDefault="00B72AEB" w:rsidP="004D6F9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Berstatus aktif sebagai peserta BI-SSSS dan Sistem BI-RTGS;</w:t>
      </w:r>
    </w:p>
    <w:p w:rsidR="00B72AEB" w:rsidRPr="00B3769C" w:rsidRDefault="00B72AEB" w:rsidP="004D6F9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Tidak sedang dikenakan sanksi penghentian sementara untuk mengikuti kegiatan Operasi Moneter;</w:t>
      </w:r>
    </w:p>
    <w:p w:rsidR="00B72AEB" w:rsidRPr="00B3769C" w:rsidRDefault="00B72AEB" w:rsidP="004D6F9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Wajib memiliki rekening giro Rupiah di Bank Indonesia;</w:t>
      </w:r>
    </w:p>
    <w:p w:rsidR="00B72AEB" w:rsidRPr="00B3769C" w:rsidRDefault="00B72AEB" w:rsidP="004D6F9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Wajib memiliki rekening giro valuta asing di Bank Indonesia dalam hal peserta operasi moneter mengikuti transaksi OPT di pasar valuta asing.</w:t>
      </w:r>
    </w:p>
    <w:p w:rsidR="00B72AEB" w:rsidRPr="00B3769C" w:rsidRDefault="00B72AEB" w:rsidP="004D6F9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Wajib memiliki rekening surat berharga di BI-SSSS dan/atau di lembaga kustodian yang ditetapkan oleh Bank Indonesia.</w:t>
      </w:r>
    </w:p>
    <w:p w:rsidR="00B72AEB" w:rsidRPr="00B3769C" w:rsidRDefault="00B72AEB" w:rsidP="004D6F9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Peserta Operasi Moneter wajib menyediakan dana yang cukup di rekening giro rupiah di Bank Indonesia dan/atau surat berharga yang cukup di rekening surat berharga di BI-SSSS atau di lembaga kustodian untuk penyelesaian kewajiban pada tanggal penyelesaian transaksi</w:t>
      </w:r>
    </w:p>
    <w:p w:rsidR="00B72AEB" w:rsidRPr="00B3769C" w:rsidRDefault="00B72AEB" w:rsidP="004D6F9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Peserta Operasi Moneter yang mengikuti transaksi di pasar valuta asing wajib menyediakan dana di Bank Indonesia atau transfer dana ke rekening Bank Indonesia yang cukup penyelesaian kewajiban pada tanggal penyelesaian transaksi</w:t>
      </w:r>
    </w:p>
    <w:p w:rsidR="00B72AEB" w:rsidRPr="00B3769C" w:rsidRDefault="00B72AEB" w:rsidP="004D6F96">
      <w:pPr>
        <w:numPr>
          <w:ilvl w:val="2"/>
          <w:numId w:val="14"/>
        </w:numPr>
        <w:shd w:val="clear" w:color="auto" w:fill="FFFFFF"/>
        <w:spacing w:after="0" w:line="240" w:lineRule="auto"/>
        <w:ind w:left="9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Peserta OPT dapat mengikuti OPT secara langsung dan/atau tidak langsung melalui lembaga perantara.</w:t>
      </w:r>
    </w:p>
    <w:p w:rsidR="00B72AEB" w:rsidRPr="00B3769C" w:rsidRDefault="00B72AEB" w:rsidP="004D6F96">
      <w:pPr>
        <w:numPr>
          <w:ilvl w:val="1"/>
          <w:numId w:val="14"/>
        </w:numPr>
        <w:shd w:val="clear" w:color="auto" w:fill="FFFFFF"/>
        <w:spacing w:after="0" w:line="240" w:lineRule="auto"/>
        <w:ind w:left="60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Lembaga Perantara</w:t>
      </w:r>
    </w:p>
    <w:p w:rsidR="00B72AEB" w:rsidRPr="00B3769C" w:rsidRDefault="00B72AEB" w:rsidP="004D6F96">
      <w:pPr>
        <w:numPr>
          <w:ilvl w:val="2"/>
          <w:numId w:val="15"/>
        </w:numPr>
        <w:shd w:val="clear" w:color="auto" w:fill="FFFFFF"/>
        <w:spacing w:after="0" w:line="240" w:lineRule="auto"/>
        <w:ind w:left="900" w:hanging="36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Lembaga Perantara melakukan transaksi OPT untuk kepentingan peserta Operasi Moneter.</w:t>
      </w:r>
    </w:p>
    <w:p w:rsidR="00B72AEB" w:rsidRPr="00B3769C" w:rsidRDefault="00B72AEB" w:rsidP="004D6F96">
      <w:pPr>
        <w:numPr>
          <w:ilvl w:val="2"/>
          <w:numId w:val="15"/>
        </w:numPr>
        <w:shd w:val="clear" w:color="auto" w:fill="FFFFFF"/>
        <w:spacing w:after="0" w:line="240" w:lineRule="auto"/>
        <w:ind w:left="900" w:hanging="36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Lembaga Perantara sebagaimana dimaksud terdiri dari:</w:t>
      </w:r>
    </w:p>
    <w:p w:rsidR="00B72AEB" w:rsidRPr="00B3769C" w:rsidRDefault="00B72AEB" w:rsidP="00B3769C">
      <w:pPr>
        <w:numPr>
          <w:ilvl w:val="3"/>
          <w:numId w:val="15"/>
        </w:numPr>
        <w:shd w:val="clear" w:color="auto" w:fill="FFFFFF"/>
        <w:spacing w:after="0" w:line="240" w:lineRule="auto"/>
        <w:ind w:left="1134" w:hanging="283"/>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Pialang pasar uang rupiah dan valuta asing; dan</w:t>
      </w:r>
    </w:p>
    <w:p w:rsidR="00B72AEB" w:rsidRPr="00B3769C" w:rsidRDefault="00B72AEB" w:rsidP="00B3769C">
      <w:pPr>
        <w:numPr>
          <w:ilvl w:val="3"/>
          <w:numId w:val="15"/>
        </w:numPr>
        <w:shd w:val="clear" w:color="auto" w:fill="FFFFFF"/>
        <w:spacing w:after="0" w:line="240" w:lineRule="auto"/>
        <w:ind w:left="1134" w:hanging="283"/>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Pialang pasar modal yang ditunjuk oleh Menteri Keuangan Republik Indonesia sebagai Dealer Utama.</w:t>
      </w:r>
    </w:p>
    <w:p w:rsidR="00B72AEB" w:rsidRPr="00B3769C" w:rsidRDefault="00B72AEB" w:rsidP="004D6F96">
      <w:pPr>
        <w:numPr>
          <w:ilvl w:val="2"/>
          <w:numId w:val="15"/>
        </w:numPr>
        <w:shd w:val="clear" w:color="auto" w:fill="FFFFFF"/>
        <w:spacing w:after="0" w:line="240" w:lineRule="auto"/>
        <w:ind w:left="900" w:hanging="36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Pialang pasar modal hanya dapat menjadi lembaga perantara dalam transaksi repo, transaksi reverse repo dan transaksi pembelian atau penjualan Surat Berharga secara outright.</w:t>
      </w:r>
    </w:p>
    <w:p w:rsidR="00B72AEB" w:rsidRPr="00B3769C" w:rsidRDefault="00B72AEB" w:rsidP="004D6F96">
      <w:pPr>
        <w:numPr>
          <w:ilvl w:val="2"/>
          <w:numId w:val="15"/>
        </w:numPr>
        <w:shd w:val="clear" w:color="auto" w:fill="FFFFFF"/>
        <w:spacing w:after="0" w:line="240" w:lineRule="auto"/>
        <w:ind w:left="900" w:hanging="360"/>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Persyaratan Lembaga Perantara adalah sebagai berikut :</w:t>
      </w:r>
    </w:p>
    <w:p w:rsidR="00B72AEB" w:rsidRPr="00B3769C" w:rsidRDefault="00B72AEB" w:rsidP="00B3769C">
      <w:pPr>
        <w:numPr>
          <w:ilvl w:val="3"/>
          <w:numId w:val="15"/>
        </w:numPr>
        <w:shd w:val="clear" w:color="auto" w:fill="FFFFFF"/>
        <w:spacing w:after="0" w:line="240" w:lineRule="auto"/>
        <w:ind w:left="1200" w:hanging="294"/>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Berstatus aktif sebagai Peserta BI-SSSS; dan</w:t>
      </w:r>
    </w:p>
    <w:p w:rsidR="00B72AEB" w:rsidRPr="00B3769C" w:rsidRDefault="00B72AEB" w:rsidP="00B3769C">
      <w:pPr>
        <w:numPr>
          <w:ilvl w:val="3"/>
          <w:numId w:val="15"/>
        </w:numPr>
        <w:shd w:val="clear" w:color="auto" w:fill="FFFFFF"/>
        <w:spacing w:after="0" w:line="240" w:lineRule="auto"/>
        <w:ind w:left="1200" w:hanging="294"/>
        <w:jc w:val="both"/>
        <w:textAlignment w:val="baseline"/>
        <w:rPr>
          <w:rFonts w:asciiTheme="minorBidi" w:eastAsia="Times New Roman" w:hAnsiTheme="minorBidi" w:cs="Times New Roman"/>
          <w:color w:val="000000" w:themeColor="text1"/>
          <w:sz w:val="24"/>
          <w:szCs w:val="24"/>
          <w:lang w:eastAsia="id-ID"/>
        </w:rPr>
      </w:pPr>
      <w:r w:rsidRPr="00B3769C">
        <w:rPr>
          <w:rFonts w:asciiTheme="minorBidi" w:eastAsia="Times New Roman" w:hAnsiTheme="minorBidi" w:cs="Times New Roman"/>
          <w:color w:val="000000" w:themeColor="text1"/>
          <w:sz w:val="24"/>
          <w:szCs w:val="24"/>
          <w:lang w:eastAsia="id-ID"/>
        </w:rPr>
        <w:t>Tidak sedang dikenakan sanksi terkait izin usaha oleh otoritas pengawas yang berwenang.</w:t>
      </w:r>
    </w:p>
    <w:p w:rsidR="00B72AEB" w:rsidRDefault="00B72AEB" w:rsidP="004D6F96">
      <w:pPr>
        <w:shd w:val="clear" w:color="auto" w:fill="FFFFFF"/>
        <w:spacing w:after="0" w:line="240" w:lineRule="auto"/>
        <w:ind w:left="300"/>
        <w:jc w:val="both"/>
        <w:textAlignment w:val="baseline"/>
        <w:rPr>
          <w:rFonts w:asciiTheme="minorBidi" w:eastAsia="Times New Roman" w:hAnsiTheme="minorBidi" w:cs="Times New Roman"/>
          <w:color w:val="000000" w:themeColor="text1"/>
          <w:sz w:val="24"/>
          <w:szCs w:val="24"/>
          <w:lang w:val="en-US" w:eastAsia="id-ID"/>
        </w:rPr>
      </w:pPr>
    </w:p>
    <w:p w:rsidR="0032164A" w:rsidRDefault="0032164A" w:rsidP="004D6F96">
      <w:pPr>
        <w:shd w:val="clear" w:color="auto" w:fill="FFFFFF"/>
        <w:spacing w:after="0" w:line="240" w:lineRule="auto"/>
        <w:ind w:left="300"/>
        <w:jc w:val="both"/>
        <w:textAlignment w:val="baseline"/>
        <w:rPr>
          <w:rFonts w:asciiTheme="minorBidi" w:eastAsia="Times New Roman" w:hAnsiTheme="minorBidi" w:cs="Times New Roman"/>
          <w:color w:val="000000" w:themeColor="text1"/>
          <w:sz w:val="24"/>
          <w:szCs w:val="24"/>
          <w:lang w:val="en-US" w:eastAsia="id-ID"/>
        </w:rPr>
      </w:pPr>
    </w:p>
    <w:p w:rsidR="0032164A" w:rsidRPr="0032164A" w:rsidRDefault="0032164A" w:rsidP="004D6F96">
      <w:pPr>
        <w:shd w:val="clear" w:color="auto" w:fill="FFFFFF"/>
        <w:spacing w:after="0" w:line="240" w:lineRule="auto"/>
        <w:ind w:left="300"/>
        <w:jc w:val="both"/>
        <w:textAlignment w:val="baseline"/>
        <w:rPr>
          <w:rFonts w:asciiTheme="minorBidi" w:eastAsia="Times New Roman" w:hAnsiTheme="minorBidi" w:cs="Times New Roman"/>
          <w:color w:val="000000" w:themeColor="text1"/>
          <w:sz w:val="24"/>
          <w:szCs w:val="24"/>
          <w:lang w:val="en-US" w:eastAsia="id-ID"/>
        </w:rPr>
      </w:pPr>
    </w:p>
    <w:p w:rsidR="00082137" w:rsidRPr="00B3769C" w:rsidRDefault="00082137" w:rsidP="004D6F96">
      <w:pPr>
        <w:shd w:val="clear" w:color="auto" w:fill="FFFFFF"/>
        <w:spacing w:after="0" w:line="240" w:lineRule="auto"/>
        <w:ind w:left="300"/>
        <w:jc w:val="both"/>
        <w:textAlignment w:val="baseline"/>
        <w:rPr>
          <w:rFonts w:asciiTheme="minorBidi" w:eastAsia="Times New Roman" w:hAnsiTheme="minorBidi" w:cs="Times New Roman"/>
          <w:color w:val="000000" w:themeColor="text1"/>
          <w:sz w:val="24"/>
          <w:szCs w:val="24"/>
          <w:lang w:eastAsia="id-ID"/>
        </w:rPr>
      </w:pPr>
    </w:p>
    <w:p w:rsidR="005E767B" w:rsidRPr="00082137" w:rsidRDefault="005E767B" w:rsidP="00B3769C">
      <w:pPr>
        <w:spacing w:after="0" w:line="240" w:lineRule="auto"/>
        <w:jc w:val="center"/>
        <w:rPr>
          <w:rFonts w:asciiTheme="minorBidi" w:hAnsiTheme="minorBidi"/>
          <w:b/>
          <w:bCs/>
          <w:caps/>
          <w:color w:val="000000" w:themeColor="text1"/>
          <w:sz w:val="24"/>
          <w:szCs w:val="24"/>
        </w:rPr>
      </w:pPr>
      <w:r w:rsidRPr="00082137">
        <w:rPr>
          <w:rFonts w:asciiTheme="minorBidi" w:hAnsiTheme="minorBidi"/>
          <w:b/>
          <w:bCs/>
          <w:caps/>
          <w:color w:val="000000" w:themeColor="text1"/>
          <w:sz w:val="24"/>
          <w:szCs w:val="24"/>
        </w:rPr>
        <w:lastRenderedPageBreak/>
        <w:t>Transmisi Kebijakan Moneter</w:t>
      </w:r>
    </w:p>
    <w:tbl>
      <w:tblPr>
        <w:tblW w:w="5000" w:type="pct"/>
        <w:tblCellMar>
          <w:left w:w="0" w:type="dxa"/>
          <w:right w:w="0" w:type="dxa"/>
        </w:tblCellMar>
        <w:tblLook w:val="04A0" w:firstRow="1" w:lastRow="0" w:firstColumn="1" w:lastColumn="0" w:noHBand="0" w:noVBand="1"/>
      </w:tblPr>
      <w:tblGrid>
        <w:gridCol w:w="9026"/>
      </w:tblGrid>
      <w:tr w:rsidR="005E767B" w:rsidRPr="004D6F96" w:rsidTr="005E767B">
        <w:tc>
          <w:tcPr>
            <w:tcW w:w="5000" w:type="pct"/>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E767B" w:rsidRPr="004D6F96">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E767B" w:rsidRPr="004D6F96">
                    <w:tc>
                      <w:tcPr>
                        <w:tcW w:w="0" w:type="auto"/>
                        <w:tcBorders>
                          <w:top w:val="nil"/>
                          <w:left w:val="nil"/>
                          <w:bottom w:val="nil"/>
                          <w:right w:val="nil"/>
                        </w:tcBorders>
                        <w:vAlign w:val="bottom"/>
                        <w:hideMark/>
                      </w:tcPr>
                      <w:p w:rsidR="005E767B" w:rsidRPr="00B3769C" w:rsidRDefault="005E767B" w:rsidP="004D6F96">
                        <w:pPr>
                          <w:pStyle w:val="NormalWeb"/>
                          <w:spacing w:before="0" w:beforeAutospacing="0" w:after="0" w:afterAutospacing="0"/>
                          <w:textAlignment w:val="baseline"/>
                          <w:rPr>
                            <w:rFonts w:asciiTheme="minorBidi" w:hAnsiTheme="minorBidi"/>
                            <w:b/>
                            <w:bCs/>
                            <w:i/>
                            <w:iCs/>
                          </w:rPr>
                        </w:pPr>
                        <w:r w:rsidRPr="00B3769C">
                          <w:rPr>
                            <w:rFonts w:asciiTheme="minorBidi" w:hAnsiTheme="minorBidi"/>
                            <w:b/>
                            <w:bCs/>
                            <w:i/>
                            <w:iCs/>
                          </w:rPr>
                          <w:t>Bagaimana Bekerjanya Kebijakan Moneter?</w:t>
                        </w:r>
                      </w:p>
                      <w:p w:rsidR="005E767B" w:rsidRPr="004D6F96" w:rsidRDefault="005E767B" w:rsidP="00B3769C">
                        <w:pPr>
                          <w:pStyle w:val="NormalWeb"/>
                          <w:spacing w:before="0" w:beforeAutospacing="0" w:after="0" w:afterAutospacing="0"/>
                          <w:ind w:firstLine="567"/>
                          <w:jc w:val="both"/>
                          <w:textAlignment w:val="baseline"/>
                          <w:rPr>
                            <w:rFonts w:asciiTheme="minorBidi" w:hAnsiTheme="minorBidi"/>
                          </w:rPr>
                        </w:pPr>
                        <w:r w:rsidRPr="004D6F96">
                          <w:rPr>
                            <w:rFonts w:asciiTheme="minorBidi" w:hAnsiTheme="minorBidi"/>
                          </w:rPr>
                          <w:t>Tujuan akhir kebijakan moneter adalah menjaga dan memelihara kestabilan nilai rupiah yang salah satunya tercermin dari tingkat inflasi yang rendah dan stabil. Untuk mencapai tujuan itu Bank Indonesia menetapkan suku bunga kebijakan BI 7DRR sebagai instrumen kebijakan utama untuk mempengaruhi aktivitas kegiatan perekonomian dengan tujuan akhir pencapaian inflasi. Namun jalur atau transmisi dari keputusan BI 7DRR sampai dengan pencapaian sasaran inflasi tersebut sangat kompleks dan memerlukan waktu (time lag).</w:t>
                        </w:r>
                      </w:p>
                      <w:p w:rsidR="005E767B" w:rsidRDefault="005E767B" w:rsidP="00B3769C">
                        <w:pPr>
                          <w:pStyle w:val="NormalWeb"/>
                          <w:spacing w:before="0" w:beforeAutospacing="0" w:after="0" w:afterAutospacing="0"/>
                          <w:ind w:firstLine="567"/>
                          <w:jc w:val="both"/>
                          <w:textAlignment w:val="baseline"/>
                          <w:rPr>
                            <w:rFonts w:asciiTheme="minorBidi" w:hAnsiTheme="minorBidi"/>
                          </w:rPr>
                        </w:pPr>
                        <w:r w:rsidRPr="004D6F96">
                          <w:rPr>
                            <w:rFonts w:asciiTheme="minorBidi" w:hAnsiTheme="minorBidi"/>
                          </w:rPr>
                          <w:t>Mekanisme bekerjanya perubahan BI 7DRR sampai mempengaruhi inflasi tersebut sering disebut sebagai mekanisme transmisi kebijakan moneter. Mekanisme ini menggambarkan tindakan Bank Indonesia melalui perubahan-perubahan instrumen moneter dan target operasionalnya mempengaruhi berbagai variable ekonomi dan keuangan sebelum akhirnya berpengaruh ke tujuan akhir inflasi. Mekanisme tersebut terjadi melalui interaksi antara Bank Sentral, perbankan dan sektor keuangan, serta sektor riil. Perubahan BI 7DRR mempengaruhi inflasi melalui berbagai jalur, diantaranya jalur suku bunga, jalur kredit, jalur nilai tukar, jalur harga aset, dan jalur ekspektasi.</w:t>
                        </w:r>
                      </w:p>
                      <w:p w:rsidR="00B3769C" w:rsidRDefault="00B3769C" w:rsidP="00B3769C">
                        <w:pPr>
                          <w:pStyle w:val="NormalWeb"/>
                          <w:spacing w:before="0" w:beforeAutospacing="0" w:after="0" w:afterAutospacing="0"/>
                          <w:ind w:firstLine="567"/>
                          <w:jc w:val="both"/>
                          <w:textAlignment w:val="baseline"/>
                          <w:rPr>
                            <w:rFonts w:asciiTheme="minorBidi" w:hAnsiTheme="minorBidi"/>
                          </w:rPr>
                        </w:pPr>
                      </w:p>
                      <w:p w:rsidR="00B3769C" w:rsidRPr="004D6F96" w:rsidRDefault="00B3769C" w:rsidP="00B3769C">
                        <w:pPr>
                          <w:pStyle w:val="NormalWeb"/>
                          <w:spacing w:before="0" w:beforeAutospacing="0" w:after="0" w:afterAutospacing="0"/>
                          <w:ind w:firstLine="567"/>
                          <w:jc w:val="both"/>
                          <w:textAlignment w:val="baseline"/>
                          <w:rPr>
                            <w:rFonts w:asciiTheme="minorBidi" w:hAnsiTheme="minorBidi"/>
                          </w:rPr>
                        </w:pPr>
                      </w:p>
                      <w:p w:rsidR="005E767B" w:rsidRPr="004D6F96" w:rsidRDefault="005E767B" w:rsidP="00B3769C">
                        <w:pPr>
                          <w:pStyle w:val="NormalWeb"/>
                          <w:spacing w:before="0" w:beforeAutospacing="0" w:after="0" w:afterAutospacing="0"/>
                          <w:jc w:val="center"/>
                          <w:textAlignment w:val="baseline"/>
                          <w:rPr>
                            <w:rFonts w:asciiTheme="minorBidi" w:hAnsiTheme="minorBidi"/>
                          </w:rPr>
                        </w:pPr>
                        <w:r w:rsidRPr="004D6F96">
                          <w:rPr>
                            <w:rFonts w:asciiTheme="minorBidi" w:hAnsiTheme="minorBidi"/>
                            <w:noProof/>
                            <w:lang w:val="en-US" w:eastAsia="en-US"/>
                          </w:rPr>
                          <mc:AlternateContent>
                            <mc:Choice Requires="wps">
                              <w:drawing>
                                <wp:inline distT="0" distB="0" distL="0" distR="0" wp14:anchorId="547331C7" wp14:editId="62497B3A">
                                  <wp:extent cx="302895" cy="302895"/>
                                  <wp:effectExtent l="0" t="0" r="0" b="0"/>
                                  <wp:docPr id="21" name="AutoShape 7" descr="Transmisi_smal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Transmisi_small.jp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" filled="f" stroked="f">
                                  <o:lock v:ext="edit" aspectratio="t"/>
                                  <w10:anchorlock/>
                                </v:rect>
                              </w:pict>
                            </mc:Fallback>
                          </mc:AlternateContent>
                        </w:r>
                        <w:r w:rsidRPr="004D6F96">
                          <w:rPr>
                            <w:rFonts w:asciiTheme="minorBidi" w:hAnsiTheme="minorBidi"/>
                            <w:noProof/>
                            <w:lang w:val="en-US" w:eastAsia="en-US"/>
                          </w:rPr>
                          <w:drawing>
                            <wp:inline distT="0" distB="0" distL="0" distR="0" wp14:anchorId="38095B67" wp14:editId="5A045782">
                              <wp:extent cx="3943700" cy="263100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947390" cy="2633466"/>
                                      </a:xfrm>
                                      <a:prstGeom prst="rect">
                                        <a:avLst/>
                                      </a:prstGeom>
                                    </pic:spPr>
                                  </pic:pic>
                                </a:graphicData>
                              </a:graphic>
                            </wp:inline>
                          </w:drawing>
                        </w:r>
                        <w:r w:rsidRPr="004D6F96">
                          <w:rPr>
                            <w:rFonts w:asciiTheme="minorBidi" w:hAnsiTheme="minorBidi"/>
                          </w:rPr>
                          <w:br/>
                        </w:r>
                      </w:p>
                      <w:p w:rsidR="005E767B" w:rsidRPr="004D6F96" w:rsidRDefault="005E767B" w:rsidP="00B3769C">
                        <w:pPr>
                          <w:pStyle w:val="NormalWeb"/>
                          <w:spacing w:before="0" w:beforeAutospacing="0" w:after="0" w:afterAutospacing="0"/>
                          <w:ind w:firstLine="567"/>
                          <w:jc w:val="both"/>
                          <w:textAlignment w:val="baseline"/>
                          <w:rPr>
                            <w:rFonts w:asciiTheme="minorBidi" w:hAnsiTheme="minorBidi"/>
                          </w:rPr>
                        </w:pPr>
                        <w:r w:rsidRPr="004D6F96">
                          <w:rPr>
                            <w:rFonts w:asciiTheme="minorBidi" w:hAnsiTheme="minorBidi"/>
                          </w:rPr>
                          <w:t>Pada jalur suku bunga, perubahan BI 7DRR mempengaruhi suku bunga deposito dan suku bunga kredit perbankan. Apabila perekonomian sedang mengalami kelesuan, Bank Indonesia dapat menggunakan kebijakan moneter yang ekspansif melalui penurunan suku bunga untuk mendorong aktifitas ekonomi. Penurunan suku bunga BI 7DRR menurunkan suku bunga kredit sehingga permintaan akan kredit dari perusahaan dan rumah tangga akan meningkat. Penurunan suku bunga kredit juga akan menurunkan biaya modal perusahaan untuk melakukan investasi. Ini semua akan meningkatkan aktifitas konsumsi dan investasi sehingga aktifitas perekonomian semakin bergairah. Sebaliknya, apabila tekanan inflasi mengalami kenaikan, Bank Indonesia merespon dengan menaikkan suku bunga BI 7</w:t>
                        </w:r>
                        <w:r w:rsidR="00B3769C">
                          <w:rPr>
                            <w:rFonts w:asciiTheme="minorBidi" w:hAnsiTheme="minorBidi"/>
                          </w:rPr>
                          <w:t xml:space="preserve"> </w:t>
                        </w:r>
                        <w:r w:rsidRPr="004D6F96">
                          <w:rPr>
                            <w:rFonts w:asciiTheme="minorBidi" w:hAnsiTheme="minorBidi"/>
                          </w:rPr>
                          <w:t>DRR untuk mengerem aktifitas perekonomian yang terlalu cepat sehingga mengurangi tekanan inflasi.</w:t>
                        </w:r>
                      </w:p>
                      <w:p w:rsidR="005E767B" w:rsidRPr="004D6F96" w:rsidRDefault="005E767B" w:rsidP="00B3769C">
                        <w:pPr>
                          <w:pStyle w:val="NormalWeb"/>
                          <w:spacing w:before="0" w:beforeAutospacing="0" w:after="0" w:afterAutospacing="0"/>
                          <w:ind w:firstLine="567"/>
                          <w:jc w:val="both"/>
                          <w:textAlignment w:val="baseline"/>
                          <w:rPr>
                            <w:rFonts w:asciiTheme="minorBidi" w:hAnsiTheme="minorBidi"/>
                          </w:rPr>
                        </w:pPr>
                        <w:r w:rsidRPr="004D6F96">
                          <w:rPr>
                            <w:rFonts w:asciiTheme="minorBidi" w:hAnsiTheme="minorBidi"/>
                          </w:rPr>
                          <w:t xml:space="preserve">Perubahan suku bunga BI 7DRR juga dapat mempengaruhi nilai tukar. Mekanisme ini sering disebut jalur nilai tukar. Kenaikan BI 7DRR, sebagai contoh, </w:t>
                        </w:r>
                        <w:r w:rsidRPr="004D6F96">
                          <w:rPr>
                            <w:rFonts w:asciiTheme="minorBidi" w:hAnsiTheme="minorBidi"/>
                          </w:rPr>
                          <w:lastRenderedPageBreak/>
                          <w:t>akan mendorong kenaikan selisih antara suku bunga di Indonesia dengan suku bunga luar negeri. Dengan melebarnya selisih suku bunga tersebut mendorong investor asing untuk menanamkan modal ke dalam instrument-instrumen keuangan di Indonesia seperti SBI karena mereka akan mendapatkan tingkat pengembalian yang lebih tinggi. Aliran modal masuk asing ini pada gilirannya akan mendorong apresiasi nilai tukar Rupiah. Apresiasi Rupiah mengakibatkan harga barang impor lebih murah dan barang ekspor kita di luar negeri menjadi lebih mahal atau kurang kompetitif sehingga akan mendorong impor dan mengurangi ekspor. Turunnya net ekspor ini akan berdampak pada menurunnya pertumbuhan ekonomi dan kegiatan perekonomian.</w:t>
                        </w:r>
                      </w:p>
                      <w:p w:rsidR="005E767B" w:rsidRPr="004D6F96" w:rsidRDefault="005E767B" w:rsidP="00B3769C">
                        <w:pPr>
                          <w:pStyle w:val="NormalWeb"/>
                          <w:spacing w:before="0" w:beforeAutospacing="0" w:after="0" w:afterAutospacing="0"/>
                          <w:ind w:firstLine="567"/>
                          <w:jc w:val="both"/>
                          <w:textAlignment w:val="baseline"/>
                          <w:rPr>
                            <w:rFonts w:asciiTheme="minorBidi" w:hAnsiTheme="minorBidi"/>
                          </w:rPr>
                        </w:pPr>
                        <w:r w:rsidRPr="004D6F96">
                          <w:rPr>
                            <w:rFonts w:asciiTheme="minorBidi" w:hAnsiTheme="minorBidi"/>
                          </w:rPr>
                          <w:t>Perubahan suku bunga BI 7DRR mempengaruhi perekonomian makro melalui perubahan harga aset. Kenaikan suku bunga akan menurunkan harga aset seperti saham dan obligasi sehingga mengurangi kekayaan individu dan perusahaan yang pada gilirannya mengurangi kemampuan mereka untuk melakukan kegiatan ekonomi seperti konsumsi dan investasi.</w:t>
                        </w:r>
                      </w:p>
                      <w:p w:rsidR="005E767B" w:rsidRPr="004D6F96" w:rsidRDefault="005E767B" w:rsidP="00B3769C">
                        <w:pPr>
                          <w:pStyle w:val="NormalWeb"/>
                          <w:spacing w:before="0" w:beforeAutospacing="0" w:after="0" w:afterAutospacing="0"/>
                          <w:ind w:firstLine="567"/>
                          <w:jc w:val="both"/>
                          <w:textAlignment w:val="baseline"/>
                          <w:rPr>
                            <w:rFonts w:asciiTheme="minorBidi" w:hAnsiTheme="minorBidi"/>
                          </w:rPr>
                        </w:pPr>
                        <w:r w:rsidRPr="004D6F96">
                          <w:rPr>
                            <w:rFonts w:asciiTheme="minorBidi" w:hAnsiTheme="minorBidi"/>
                          </w:rPr>
                          <w:t>Dampak perubahan suku bunga kepada kegiatan ekonomi juga mempengaruhi ekspektasi publik akan inflasi (jalur ekspektasi). Penurunan suku bunga yang diperkirakan akan mendorong aktifitas ekonomi dan pada akhirnya inflasi mendorong pekerja untuk mengantisipasi kenaikan inflasi dengan meminta upah yang lebih tinggi. Upah ini pada akhirnya akan dibebankan oleh produsen kepada konsumen melalui kenaikan harga.</w:t>
                        </w:r>
                      </w:p>
                      <w:p w:rsidR="005E767B" w:rsidRPr="004D6F96" w:rsidRDefault="005E767B" w:rsidP="00B3769C">
                        <w:pPr>
                          <w:pStyle w:val="NormalWeb"/>
                          <w:spacing w:before="0" w:beforeAutospacing="0" w:after="0" w:afterAutospacing="0"/>
                          <w:ind w:firstLine="567"/>
                          <w:jc w:val="both"/>
                          <w:textAlignment w:val="baseline"/>
                          <w:rPr>
                            <w:rFonts w:asciiTheme="minorBidi" w:hAnsiTheme="minorBidi"/>
                          </w:rPr>
                        </w:pPr>
                        <w:r w:rsidRPr="004D6F96">
                          <w:rPr>
                            <w:rFonts w:asciiTheme="minorBidi" w:hAnsiTheme="minorBidi"/>
                          </w:rPr>
                          <w:t>Mekanisme transmisi kebijakan moneter ini bekerja memerlukan waktu (time lag). Time lag masing-masing jalur bisa berbeda dengan yang lain. Jalur nilai tukar biasanya bekerja lebih cepat karena dampak perubahan suku bunga kepada nilai tukar bekerja sangat cepat. Kondisi sektor keuangan dan perbankan juga sangat berpengaruh pada kecepatan tarnsmisi kebijakan moneter. Apabila perbankan melihat risiko perekonomian cukup tinggi, respon perbankan terhadap penurunan suku bunga BI 7DRR biasanya sangat lambat. Juga, apabila perbankan sedang melakukan konsolidasi untuk memperbaiki permodalan, penurunan suku bunga kredit dan meningkatnya permintaan kredit belum tentu direspon dengan menaikkan penyaluran kredit. Di sisi permintaan, penurunan suku bunga kredit perbankan juga belum tentu direspon oleh meningkatnya permintaan kredit dari masyarakat apabila prospek perekonomian sedang lesu. Kesimpulannya, kondisi sektor keuangan, perbankan, dan kondisi sektor riil sangat berperan dalam menentukan efektif atau tidaknya proses transmisi kebijakan moneter.</w:t>
                        </w:r>
                      </w:p>
                    </w:tc>
                  </w:tr>
                </w:tbl>
                <w:p w:rsidR="005E767B" w:rsidRPr="004D6F96" w:rsidRDefault="005E767B" w:rsidP="004D6F96">
                  <w:pPr>
                    <w:spacing w:after="0" w:line="240" w:lineRule="auto"/>
                    <w:rPr>
                      <w:rFonts w:asciiTheme="minorBidi" w:hAnsiTheme="minorBidi" w:cs="Times New Roman"/>
                      <w:sz w:val="24"/>
                      <w:szCs w:val="24"/>
                    </w:rPr>
                  </w:pPr>
                </w:p>
              </w:tc>
            </w:tr>
          </w:tbl>
          <w:p w:rsidR="005E767B" w:rsidRPr="004D6F96" w:rsidRDefault="005E767B" w:rsidP="004D6F96">
            <w:pPr>
              <w:spacing w:after="0" w:line="240" w:lineRule="auto"/>
              <w:rPr>
                <w:rFonts w:asciiTheme="minorBidi" w:hAnsiTheme="minorBidi" w:cs="Times New Roman"/>
                <w:sz w:val="24"/>
                <w:szCs w:val="24"/>
              </w:rPr>
            </w:pPr>
          </w:p>
        </w:tc>
      </w:tr>
    </w:tbl>
    <w:p w:rsidR="005E767B" w:rsidRDefault="005E767B" w:rsidP="004D6F96">
      <w:pPr>
        <w:shd w:val="clear" w:color="auto" w:fill="FFFFFF"/>
        <w:spacing w:after="0" w:line="240" w:lineRule="auto"/>
        <w:ind w:left="300"/>
        <w:jc w:val="both"/>
        <w:textAlignment w:val="baseline"/>
        <w:rPr>
          <w:rFonts w:asciiTheme="minorBidi" w:eastAsia="Times New Roman" w:hAnsiTheme="minorBidi" w:cs="Times New Roman"/>
          <w:color w:val="333333"/>
          <w:sz w:val="24"/>
          <w:szCs w:val="24"/>
          <w:lang w:eastAsia="id-ID"/>
        </w:rPr>
      </w:pPr>
    </w:p>
    <w:p w:rsidR="00B3769C" w:rsidRDefault="00B3769C" w:rsidP="004D6F96">
      <w:pPr>
        <w:shd w:val="clear" w:color="auto" w:fill="FFFFFF"/>
        <w:spacing w:after="0" w:line="240" w:lineRule="auto"/>
        <w:ind w:left="300"/>
        <w:jc w:val="both"/>
        <w:textAlignment w:val="baseline"/>
        <w:rPr>
          <w:rFonts w:asciiTheme="minorBidi" w:eastAsia="Times New Roman" w:hAnsiTheme="minorBidi" w:cs="Times New Roman"/>
          <w:color w:val="333333"/>
          <w:sz w:val="24"/>
          <w:szCs w:val="24"/>
          <w:lang w:eastAsia="id-ID"/>
        </w:rPr>
      </w:pPr>
    </w:p>
    <w:tbl>
      <w:tblPr>
        <w:tblW w:w="5000" w:type="pct"/>
        <w:tblCellMar>
          <w:left w:w="0" w:type="dxa"/>
          <w:right w:w="0" w:type="dxa"/>
        </w:tblCellMar>
        <w:tblLook w:val="04A0" w:firstRow="1" w:lastRow="0" w:firstColumn="1" w:lastColumn="0" w:noHBand="0" w:noVBand="1"/>
      </w:tblPr>
      <w:tblGrid>
        <w:gridCol w:w="9026"/>
      </w:tblGrid>
      <w:tr w:rsidR="005E767B" w:rsidRPr="004D6F96" w:rsidTr="005E767B">
        <w:tc>
          <w:tcPr>
            <w:tcW w:w="5000" w:type="pct"/>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E767B" w:rsidRPr="004D6F96">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E767B" w:rsidRPr="004D6F96">
                    <w:tc>
                      <w:tcPr>
                        <w:tcW w:w="0" w:type="auto"/>
                        <w:tcBorders>
                          <w:top w:val="nil"/>
                          <w:left w:val="nil"/>
                          <w:bottom w:val="nil"/>
                          <w:right w:val="nil"/>
                        </w:tcBorders>
                        <w:vAlign w:val="bottom"/>
                        <w:hideMark/>
                      </w:tcPr>
                      <w:p w:rsidR="005E767B" w:rsidRPr="004D6F96" w:rsidRDefault="005E767B" w:rsidP="0032164A">
                        <w:pPr>
                          <w:pStyle w:val="NormalWeb"/>
                          <w:spacing w:before="0" w:beforeAutospacing="0" w:after="0" w:afterAutospacing="0"/>
                          <w:ind w:firstLine="567"/>
                          <w:jc w:val="center"/>
                          <w:textAlignment w:val="baseline"/>
                          <w:rPr>
                            <w:rFonts w:asciiTheme="minorBidi" w:hAnsiTheme="minorBidi"/>
                            <w:bdr w:val="none" w:sz="0" w:space="0" w:color="auto" w:frame="1"/>
                          </w:rPr>
                        </w:pPr>
                        <w:r w:rsidRPr="004D6F96">
                          <w:rPr>
                            <w:rStyle w:val="Strong"/>
                            <w:rFonts w:asciiTheme="minorBidi" w:hAnsiTheme="minorBidi"/>
                            <w:bdr w:val="none" w:sz="0" w:space="0" w:color="auto" w:frame="1"/>
                          </w:rPr>
                          <w:t>Transparansi dan Akuntabilitas Kebijakan Moneter</w:t>
                        </w:r>
                      </w:p>
                      <w:p w:rsidR="005E767B" w:rsidRPr="004D6F96" w:rsidRDefault="005E767B" w:rsidP="00B3769C">
                        <w:pPr>
                          <w:pStyle w:val="NormalWeb"/>
                          <w:spacing w:before="0" w:beforeAutospacing="0" w:after="0" w:afterAutospacing="0"/>
                          <w:ind w:firstLine="567"/>
                          <w:jc w:val="both"/>
                          <w:textAlignment w:val="baseline"/>
                          <w:rPr>
                            <w:rFonts w:asciiTheme="minorBidi" w:hAnsiTheme="minorBidi"/>
                            <w:bdr w:val="none" w:sz="0" w:space="0" w:color="auto" w:frame="1"/>
                          </w:rPr>
                        </w:pPr>
                        <w:r w:rsidRPr="004D6F96">
                          <w:rPr>
                            <w:rFonts w:asciiTheme="minorBidi" w:hAnsiTheme="minorBidi"/>
                            <w:bdr w:val="none" w:sz="0" w:space="0" w:color="auto" w:frame="1"/>
                          </w:rPr>
                          <w:t> </w:t>
                        </w:r>
                      </w:p>
                      <w:p w:rsidR="005E767B" w:rsidRPr="004D6F96" w:rsidRDefault="005E767B" w:rsidP="00B3769C">
                        <w:pPr>
                          <w:pStyle w:val="NormalWeb"/>
                          <w:spacing w:before="0" w:beforeAutospacing="0" w:after="0" w:afterAutospacing="0"/>
                          <w:jc w:val="both"/>
                          <w:textAlignment w:val="baseline"/>
                          <w:rPr>
                            <w:rFonts w:asciiTheme="minorBidi" w:hAnsiTheme="minorBidi"/>
                            <w:bdr w:val="none" w:sz="0" w:space="0" w:color="auto" w:frame="1"/>
                          </w:rPr>
                        </w:pPr>
                        <w:r w:rsidRPr="004D6F96">
                          <w:rPr>
                            <w:rStyle w:val="Strong"/>
                            <w:rFonts w:asciiTheme="minorBidi" w:hAnsiTheme="minorBidi"/>
                            <w:bdr w:val="none" w:sz="0" w:space="0" w:color="auto" w:frame="1"/>
                          </w:rPr>
                          <w:t>Transparansi dan Komunikasi</w:t>
                        </w:r>
                      </w:p>
                      <w:p w:rsidR="005E767B" w:rsidRPr="004D6F96" w:rsidRDefault="005E767B" w:rsidP="00B3769C">
                        <w:pPr>
                          <w:pStyle w:val="NormalWeb"/>
                          <w:spacing w:before="0" w:beforeAutospacing="0" w:after="0" w:afterAutospacing="0"/>
                          <w:ind w:firstLine="567"/>
                          <w:jc w:val="both"/>
                          <w:textAlignment w:val="baseline"/>
                          <w:rPr>
                            <w:rFonts w:asciiTheme="minorBidi" w:hAnsiTheme="minorBidi"/>
                            <w:bdr w:val="none" w:sz="0" w:space="0" w:color="auto" w:frame="1"/>
                          </w:rPr>
                        </w:pPr>
                        <w:r w:rsidRPr="004D6F96">
                          <w:rPr>
                            <w:rFonts w:asciiTheme="minorBidi" w:hAnsiTheme="minorBidi"/>
                            <w:bdr w:val="none" w:sz="0" w:space="0" w:color="auto" w:frame="1"/>
                          </w:rPr>
                          <w:t xml:space="preserve">Agar kebijakan moneter dapat berkerja secara efektif, komunikasi yang terbuka antara Bank Indonesia dengan masyarakat sangat dibutuhkan. Oleh karenanya, kebijakan moneter Bank Indonesia senantiasa dikomunikasikan secara transparan kepada masyarakat. Komunikasi tersebut juga sebagai bagian dari akuntabilitas kebijakan moneter dan berperan dalam membantu pembentukan ekspektasi masyarakat terhadap inflasi ke depan. Melalui komunikasi, Bank Indonesia mengajak masyarakat untuk memandang dan membentuk tingkat inflasi ke depan sebagaimana yang diitetapkan dalam sasaran yang diumumkan. Oleh karenanya, komunikasi kebijakan moneter dilakukan dengan terus menerus memuat pengumuman dan penjelasan tentang sasaran inflasi ke depan, analisis Bank </w:t>
                        </w:r>
                        <w:r w:rsidRPr="004D6F96">
                          <w:rPr>
                            <w:rFonts w:asciiTheme="minorBidi" w:hAnsiTheme="minorBidi"/>
                            <w:bdr w:val="none" w:sz="0" w:space="0" w:color="auto" w:frame="1"/>
                          </w:rPr>
                          <w:lastRenderedPageBreak/>
                          <w:t>Indonesia terhadap perekonomian, kerangka kerja, dan langkah-langkah kebijakan moneter yang telah dan akan ditempuh, jadwal Rapat Dewan Gubernur (RDG), serta hal-hal lain yang ditetapkan oleh Dewan Gubernur.</w:t>
                        </w:r>
                      </w:p>
                      <w:p w:rsidR="005E767B" w:rsidRPr="004D6F96" w:rsidRDefault="005E767B" w:rsidP="00B3769C">
                        <w:pPr>
                          <w:pStyle w:val="NormalWeb"/>
                          <w:spacing w:before="0" w:beforeAutospacing="0" w:after="0" w:afterAutospacing="0"/>
                          <w:ind w:firstLine="567"/>
                          <w:jc w:val="both"/>
                          <w:textAlignment w:val="baseline"/>
                          <w:rPr>
                            <w:rFonts w:asciiTheme="minorBidi" w:hAnsiTheme="minorBidi"/>
                            <w:bdr w:val="none" w:sz="0" w:space="0" w:color="auto" w:frame="1"/>
                          </w:rPr>
                        </w:pPr>
                        <w:r w:rsidRPr="004D6F96">
                          <w:rPr>
                            <w:rFonts w:asciiTheme="minorBidi" w:hAnsiTheme="minorBidi"/>
                            <w:bdr w:val="none" w:sz="0" w:space="0" w:color="auto" w:frame="1"/>
                          </w:rPr>
                          <w:t>Komunikasi kebijakan moneter dilakukan dalam bentuk siaran pers, konferensi pers setelah Rapat Dewan Gubernur, publikasi Tinjauan/Laporan Kebijakan Moneter yang memuat latar belakang pengambilan keputusan,  maupun penjelasan langsung kepada masyarakat luas, media massa, pelaku ekonomi, analis pasar dan akademisi.</w:t>
                        </w:r>
                      </w:p>
                      <w:p w:rsidR="00B3769C" w:rsidRDefault="00B3769C" w:rsidP="00B3769C">
                        <w:pPr>
                          <w:pStyle w:val="NormalWeb"/>
                          <w:spacing w:before="0" w:beforeAutospacing="0" w:after="0" w:afterAutospacing="0"/>
                          <w:jc w:val="both"/>
                          <w:textAlignment w:val="baseline"/>
                          <w:rPr>
                            <w:rStyle w:val="Strong"/>
                            <w:rFonts w:asciiTheme="minorBidi" w:hAnsiTheme="minorBidi"/>
                            <w:bdr w:val="none" w:sz="0" w:space="0" w:color="auto" w:frame="1"/>
                          </w:rPr>
                        </w:pPr>
                      </w:p>
                      <w:p w:rsidR="005E767B" w:rsidRPr="004D6F96" w:rsidRDefault="005E767B" w:rsidP="00B3769C">
                        <w:pPr>
                          <w:pStyle w:val="NormalWeb"/>
                          <w:spacing w:before="0" w:beforeAutospacing="0" w:after="0" w:afterAutospacing="0"/>
                          <w:jc w:val="both"/>
                          <w:textAlignment w:val="baseline"/>
                          <w:rPr>
                            <w:rFonts w:asciiTheme="minorBidi" w:hAnsiTheme="minorBidi"/>
                            <w:bdr w:val="none" w:sz="0" w:space="0" w:color="auto" w:frame="1"/>
                          </w:rPr>
                        </w:pPr>
                        <w:r w:rsidRPr="004D6F96">
                          <w:rPr>
                            <w:rStyle w:val="Strong"/>
                            <w:rFonts w:asciiTheme="minorBidi" w:hAnsiTheme="minorBidi"/>
                            <w:bdr w:val="none" w:sz="0" w:space="0" w:color="auto" w:frame="1"/>
                          </w:rPr>
                          <w:t>Akuntabilitas</w:t>
                        </w:r>
                      </w:p>
                      <w:p w:rsidR="005E767B" w:rsidRPr="004D6F96" w:rsidRDefault="005E767B" w:rsidP="00B3769C">
                        <w:pPr>
                          <w:pStyle w:val="NormalWeb"/>
                          <w:spacing w:before="0" w:beforeAutospacing="0" w:after="0" w:afterAutospacing="0"/>
                          <w:ind w:firstLine="567"/>
                          <w:jc w:val="both"/>
                          <w:textAlignment w:val="baseline"/>
                          <w:rPr>
                            <w:rFonts w:asciiTheme="minorBidi" w:hAnsiTheme="minorBidi"/>
                            <w:bdr w:val="none" w:sz="0" w:space="0" w:color="auto" w:frame="1"/>
                          </w:rPr>
                        </w:pPr>
                        <w:r w:rsidRPr="004D6F96">
                          <w:rPr>
                            <w:rFonts w:asciiTheme="minorBidi" w:hAnsiTheme="minorBidi"/>
                            <w:bdr w:val="none" w:sz="0" w:space="0" w:color="auto" w:frame="1"/>
                          </w:rPr>
                          <w:t>Bank Indonesia secara reguler menyampaikan pertanggung-jawaban pelaksanaan kebijakan moneter kepada Dewan Perwakilan Rakyat (DPR) sebagai bentuk akuntabilitas Bank Indonesia dalam melaksanakan tugas dan wewenang yang telah ditetapkan dalam Undang-Undang. Pertanggung-jawaban kebijakan moneter dilakukan dengan penyampaian secara tertulis maupun penjelasan langsung atas pelaksanaan Kebijakan Moneter secara triwulanan dan aspek-aspek tertentu kebijakan moneter yang dipandang perlu. Selain itu Laporan Pertanggungjawaban Pelaksanan Kebijakan tersebut disampaikan pula kepada Pemerintah dan masyarakat luas untuk transparansi dan koordinasi.</w:t>
                        </w:r>
                      </w:p>
                      <w:p w:rsidR="005E767B" w:rsidRPr="004D6F96" w:rsidRDefault="005E767B" w:rsidP="00B3769C">
                        <w:pPr>
                          <w:pStyle w:val="NormalWeb"/>
                          <w:spacing w:before="0" w:beforeAutospacing="0" w:after="0" w:afterAutospacing="0"/>
                          <w:ind w:firstLine="567"/>
                          <w:jc w:val="both"/>
                          <w:textAlignment w:val="baseline"/>
                          <w:rPr>
                            <w:rFonts w:asciiTheme="minorBidi" w:hAnsiTheme="minorBidi"/>
                            <w:bdr w:val="none" w:sz="0" w:space="0" w:color="auto" w:frame="1"/>
                          </w:rPr>
                        </w:pPr>
                        <w:r w:rsidRPr="004D6F96">
                          <w:rPr>
                            <w:rFonts w:asciiTheme="minorBidi" w:hAnsiTheme="minorBidi"/>
                            <w:bdr w:val="none" w:sz="0" w:space="0" w:color="auto" w:frame="1"/>
                          </w:rPr>
                          <w:t>Dalam hal sasaran inflasi untuk suatu tahun tidak tercapai, maka Bank Indonesia menyampaikan penjelasan kepada Pemerintah sebagai bahan penjelasan Pemerintah bersama Bank Indonesia secara terbuka kepada DPR dan masyarakat.</w:t>
                        </w:r>
                      </w:p>
                    </w:tc>
                  </w:tr>
                </w:tbl>
                <w:p w:rsidR="005E767B" w:rsidRPr="004D6F96" w:rsidRDefault="005E767B" w:rsidP="00B3769C">
                  <w:pPr>
                    <w:spacing w:after="0" w:line="240" w:lineRule="auto"/>
                    <w:ind w:firstLine="567"/>
                    <w:jc w:val="both"/>
                    <w:rPr>
                      <w:rFonts w:asciiTheme="minorBidi" w:hAnsiTheme="minorBidi" w:cs="Times New Roman"/>
                      <w:sz w:val="24"/>
                      <w:szCs w:val="24"/>
                    </w:rPr>
                  </w:pPr>
                </w:p>
              </w:tc>
            </w:tr>
          </w:tbl>
          <w:p w:rsidR="005E767B" w:rsidRPr="004D6F96" w:rsidRDefault="005E767B" w:rsidP="00B3769C">
            <w:pPr>
              <w:spacing w:after="0" w:line="240" w:lineRule="auto"/>
              <w:ind w:firstLine="567"/>
              <w:jc w:val="both"/>
              <w:rPr>
                <w:rFonts w:asciiTheme="minorBidi" w:hAnsiTheme="minorBidi" w:cs="Times New Roman"/>
                <w:sz w:val="24"/>
                <w:szCs w:val="24"/>
              </w:rPr>
            </w:pPr>
          </w:p>
        </w:tc>
      </w:tr>
    </w:tbl>
    <w:p w:rsidR="00B72AEB" w:rsidRPr="004D6F96" w:rsidRDefault="00B72AEB" w:rsidP="00B3769C">
      <w:pPr>
        <w:shd w:val="clear" w:color="auto" w:fill="FFFFFF"/>
        <w:spacing w:after="0" w:line="240" w:lineRule="auto"/>
        <w:ind w:firstLine="567"/>
        <w:jc w:val="both"/>
        <w:textAlignment w:val="baseline"/>
        <w:rPr>
          <w:rFonts w:asciiTheme="minorBidi" w:eastAsia="Times New Roman" w:hAnsiTheme="minorBidi" w:cs="Times New Roman"/>
          <w:color w:val="333333"/>
          <w:sz w:val="24"/>
          <w:szCs w:val="24"/>
          <w:lang w:eastAsia="id-ID"/>
        </w:rPr>
      </w:pPr>
    </w:p>
    <w:p w:rsidR="005E767B" w:rsidRPr="00082137" w:rsidRDefault="005E767B" w:rsidP="00B57BC9">
      <w:pPr>
        <w:shd w:val="clear" w:color="auto" w:fill="FFFFFF"/>
        <w:spacing w:after="0" w:line="240" w:lineRule="auto"/>
        <w:jc w:val="center"/>
        <w:textAlignment w:val="baseline"/>
        <w:rPr>
          <w:rFonts w:asciiTheme="minorBidi" w:eastAsia="Times New Roman" w:hAnsiTheme="minorBidi" w:cs="Times New Roman"/>
          <w:color w:val="000000" w:themeColor="text1"/>
          <w:sz w:val="24"/>
          <w:szCs w:val="24"/>
          <w:lang w:eastAsia="id-ID"/>
        </w:rPr>
      </w:pPr>
      <w:r w:rsidRPr="00082137">
        <w:rPr>
          <w:rFonts w:asciiTheme="minorBidi" w:eastAsia="Times New Roman" w:hAnsiTheme="minorBidi" w:cs="Times New Roman"/>
          <w:b/>
          <w:bCs/>
          <w:color w:val="000000" w:themeColor="text1"/>
          <w:sz w:val="24"/>
          <w:szCs w:val="24"/>
          <w:bdr w:val="none" w:sz="0" w:space="0" w:color="auto" w:frame="1"/>
          <w:lang w:eastAsia="id-ID"/>
        </w:rPr>
        <w:t>Koordinasi Kebijakan Moneter dan Fiskal</w:t>
      </w:r>
    </w:p>
    <w:p w:rsidR="005E767B" w:rsidRPr="00082137" w:rsidRDefault="00B57BC9" w:rsidP="00B3769C">
      <w:pPr>
        <w:shd w:val="clear" w:color="auto" w:fill="FFFFFF"/>
        <w:spacing w:after="0" w:line="240" w:lineRule="auto"/>
        <w:ind w:firstLine="567"/>
        <w:jc w:val="both"/>
        <w:textAlignment w:val="baseline"/>
        <w:rPr>
          <w:rFonts w:asciiTheme="minorBidi" w:eastAsia="Times New Roman" w:hAnsiTheme="minorBidi" w:cs="Times New Roman"/>
          <w:color w:val="000000" w:themeColor="text1"/>
          <w:sz w:val="24"/>
          <w:szCs w:val="24"/>
          <w:lang w:eastAsia="id-ID"/>
        </w:rPr>
      </w:pPr>
      <w:r w:rsidRPr="00082137">
        <w:rPr>
          <w:rFonts w:asciiTheme="minorBidi" w:eastAsia="Times New Roman" w:hAnsiTheme="minorBidi" w:cs="Times New Roman"/>
          <w:color w:val="000000" w:themeColor="text1"/>
          <w:sz w:val="24"/>
          <w:szCs w:val="24"/>
          <w:lang w:eastAsia="id-ID"/>
        </w:rPr>
        <w:t>L</w:t>
      </w:r>
      <w:r w:rsidR="005E767B" w:rsidRPr="00082137">
        <w:rPr>
          <w:rFonts w:asciiTheme="minorBidi" w:eastAsia="Times New Roman" w:hAnsiTheme="minorBidi" w:cs="Times New Roman"/>
          <w:color w:val="000000" w:themeColor="text1"/>
          <w:sz w:val="24"/>
          <w:szCs w:val="24"/>
          <w:lang w:eastAsia="id-ID"/>
        </w:rPr>
        <w:t>aju inflasi di Indonesia tidak hanya dipengaruhi oleh faktor permintaan (</w:t>
      </w:r>
      <w:r w:rsidR="005E767B" w:rsidRPr="00082137">
        <w:rPr>
          <w:rFonts w:asciiTheme="minorBidi" w:eastAsia="Times New Roman" w:hAnsiTheme="minorBidi" w:cs="Times New Roman"/>
          <w:i/>
          <w:iCs/>
          <w:color w:val="000000" w:themeColor="text1"/>
          <w:sz w:val="24"/>
          <w:szCs w:val="24"/>
          <w:bdr w:val="none" w:sz="0" w:space="0" w:color="auto" w:frame="1"/>
          <w:lang w:eastAsia="id-ID"/>
        </w:rPr>
        <w:t>demand pull</w:t>
      </w:r>
      <w:r w:rsidR="005E767B" w:rsidRPr="00082137">
        <w:rPr>
          <w:rFonts w:asciiTheme="minorBidi" w:eastAsia="Times New Roman" w:hAnsiTheme="minorBidi" w:cs="Times New Roman"/>
          <w:color w:val="000000" w:themeColor="text1"/>
          <w:sz w:val="24"/>
          <w:szCs w:val="24"/>
          <w:lang w:eastAsia="id-ID"/>
        </w:rPr>
        <w:t>) namun juga faktor penawaran (</w:t>
      </w:r>
      <w:r w:rsidR="005E767B" w:rsidRPr="00082137">
        <w:rPr>
          <w:rFonts w:asciiTheme="minorBidi" w:eastAsia="Times New Roman" w:hAnsiTheme="minorBidi" w:cs="Times New Roman"/>
          <w:i/>
          <w:iCs/>
          <w:color w:val="000000" w:themeColor="text1"/>
          <w:sz w:val="24"/>
          <w:szCs w:val="24"/>
          <w:bdr w:val="none" w:sz="0" w:space="0" w:color="auto" w:frame="1"/>
          <w:lang w:eastAsia="id-ID"/>
        </w:rPr>
        <w:t>cost push</w:t>
      </w:r>
      <w:r w:rsidR="005E767B" w:rsidRPr="00082137">
        <w:rPr>
          <w:rFonts w:asciiTheme="minorBidi" w:eastAsia="Times New Roman" w:hAnsiTheme="minorBidi" w:cs="Times New Roman"/>
          <w:color w:val="000000" w:themeColor="text1"/>
          <w:sz w:val="24"/>
          <w:szCs w:val="24"/>
          <w:lang w:eastAsia="id-ID"/>
        </w:rPr>
        <w:t>), maka agar pencapaian sasaran inflasi dapat dilakukan dengan efektif, kerjasaama dan koordinasi antara pemerintah dan BI melalui kebijakan makroekonomi yang terintegrasi sangatlah diperlukan. Sehubungan dengan hal tersebut, di tingkat pengambil kebijakan, Bank Indonesia dan Pemerintah secara rutin menggelar Rapat Koordinasi untuk membahas perkembangan ekonomi terkini. Di sisi lain, Bank Indonesia juga kerap diundang dalam Rapat Kabinet yang dipimpin oleh Presiden RI untuk memberikan pandangan terhadap perkembangan makroekonomi dan moneter terkait dengan pencapaian sasaran inflasi. Koordinasi kebijakan fiskal dan moneter juga dilakukan dalam penyusunan bersama Asumsi Makro di Anggaran Pendapatan dan Belanja Negara (APBN) yang dibahas bersama di DPR. Selain itu, Pemerintah juga berkoordinasi dengan Bank Indonesia dalam melakukan pengelolaan Utang Negara.</w:t>
      </w:r>
    </w:p>
    <w:p w:rsidR="005E767B" w:rsidRPr="00082137" w:rsidRDefault="005E767B" w:rsidP="00B3769C">
      <w:pPr>
        <w:shd w:val="clear" w:color="auto" w:fill="FFFFFF"/>
        <w:spacing w:after="0" w:line="240" w:lineRule="auto"/>
        <w:ind w:firstLine="567"/>
        <w:jc w:val="both"/>
        <w:textAlignment w:val="baseline"/>
        <w:rPr>
          <w:rFonts w:asciiTheme="minorBidi" w:eastAsia="Times New Roman" w:hAnsiTheme="minorBidi" w:cs="Times New Roman"/>
          <w:color w:val="000000" w:themeColor="text1"/>
          <w:sz w:val="24"/>
          <w:szCs w:val="24"/>
          <w:lang w:eastAsia="id-ID"/>
        </w:rPr>
      </w:pPr>
      <w:r w:rsidRPr="00082137">
        <w:rPr>
          <w:rFonts w:asciiTheme="minorBidi" w:eastAsia="Times New Roman" w:hAnsiTheme="minorBidi" w:cs="Times New Roman"/>
          <w:color w:val="000000" w:themeColor="text1"/>
          <w:sz w:val="24"/>
          <w:szCs w:val="24"/>
          <w:lang w:eastAsia="id-ID"/>
        </w:rPr>
        <w:t>Di tataran teknis, koordinasi antara Pemerintah dan BI telah diwujudkan dengan membentuk Tim Koordinasi Penetapan Sasaran, Pemantauan dan Pengendalian Inflasi (TPI) di tingkat pusat sejak tahun 2005. Anggota TPI, terdiri dari Bank Indonesia dan departmen teknis terkait di Pemerintah seperti Departemen Keuangan, Kantor Menko Bidang Perekonomian, Badan Perencanaan Pembangunan Nasional, Departemen Perdagangan, Departemen Pertanian, Departemen Perhubungan, dan Departemen Tenaga Kerja dan Transmigrasi. Menyadari pentingnya koordinasi tersebut, sejak tahun 2008 pembentukan TPI diperluas hingga ke level daerah. Ke depan, koordinasi antara Pemerintah dan BI diharapkan akan semakin efektif dengan dukungan forum TPI baik pusat maupun daerah sehingga dapat terwujud inflasi yang rendah dan stabil, yang bermuara pada pertumbuhan ekonomi yang berkesinambungan dan berkelanjutan.</w:t>
      </w:r>
    </w:p>
    <w:p w:rsidR="00B57BC9" w:rsidRPr="00082137" w:rsidRDefault="00B57BC9" w:rsidP="004D6F96">
      <w:pPr>
        <w:shd w:val="clear" w:color="auto" w:fill="FFFFFF"/>
        <w:spacing w:after="0" w:line="240" w:lineRule="auto"/>
        <w:textAlignment w:val="baseline"/>
        <w:outlineLvl w:val="0"/>
        <w:rPr>
          <w:rFonts w:asciiTheme="minorBidi" w:eastAsia="Times New Roman" w:hAnsiTheme="minorBidi" w:cs="Times New Roman"/>
          <w:b/>
          <w:bCs/>
          <w:color w:val="000000" w:themeColor="text1"/>
          <w:kern w:val="36"/>
          <w:sz w:val="24"/>
          <w:szCs w:val="24"/>
          <w:lang w:eastAsia="id-ID"/>
        </w:rPr>
      </w:pPr>
    </w:p>
    <w:p w:rsidR="005E767B" w:rsidRPr="00082137" w:rsidRDefault="005E767B" w:rsidP="004D6F96">
      <w:pPr>
        <w:shd w:val="clear" w:color="auto" w:fill="FFFFFF"/>
        <w:spacing w:after="0" w:line="240" w:lineRule="auto"/>
        <w:textAlignment w:val="baseline"/>
        <w:outlineLvl w:val="0"/>
        <w:rPr>
          <w:rFonts w:asciiTheme="minorBidi" w:eastAsia="Times New Roman" w:hAnsiTheme="minorBidi" w:cs="Times New Roman"/>
          <w:b/>
          <w:bCs/>
          <w:color w:val="000000" w:themeColor="text1"/>
          <w:kern w:val="36"/>
          <w:sz w:val="24"/>
          <w:szCs w:val="24"/>
          <w:lang w:eastAsia="id-ID"/>
        </w:rPr>
      </w:pPr>
      <w:r w:rsidRPr="00082137">
        <w:rPr>
          <w:rFonts w:asciiTheme="minorBidi" w:eastAsia="Times New Roman" w:hAnsiTheme="minorBidi" w:cs="Times New Roman"/>
          <w:b/>
          <w:bCs/>
          <w:color w:val="000000" w:themeColor="text1"/>
          <w:kern w:val="36"/>
          <w:sz w:val="24"/>
          <w:szCs w:val="24"/>
          <w:lang w:eastAsia="id-ID"/>
        </w:rPr>
        <w:lastRenderedPageBreak/>
        <w:t>Informasi Kurs</w:t>
      </w:r>
      <w:r w:rsidR="00B57BC9" w:rsidRPr="00082137">
        <w:rPr>
          <w:rFonts w:asciiTheme="minorBidi" w:eastAsia="Times New Roman" w:hAnsiTheme="minorBidi" w:cs="Times New Roman"/>
          <w:b/>
          <w:bCs/>
          <w:color w:val="000000" w:themeColor="text1"/>
          <w:kern w:val="36"/>
          <w:sz w:val="24"/>
          <w:szCs w:val="24"/>
          <w:lang w:eastAsia="id-ID"/>
        </w:rPr>
        <w:t xml:space="preserve"> :</w:t>
      </w:r>
      <w:r w:rsidR="00B57BC9" w:rsidRPr="00082137">
        <w:rPr>
          <w:rFonts w:asciiTheme="minorBidi" w:eastAsia="Times New Roman" w:hAnsiTheme="minorBidi" w:cs="Times New Roman"/>
          <w:b/>
          <w:bCs/>
          <w:color w:val="000000" w:themeColor="text1"/>
          <w:sz w:val="24"/>
          <w:szCs w:val="24"/>
          <w:bdr w:val="none" w:sz="0" w:space="0" w:color="auto" w:frame="1"/>
          <w:lang w:eastAsia="id-ID"/>
        </w:rPr>
        <w:t xml:space="preserve"> Jakarta Interbank Spot Dollar Rate (JISDOR)</w:t>
      </w:r>
    </w:p>
    <w:tbl>
      <w:tblPr>
        <w:tblW w:w="5000" w:type="pct"/>
        <w:tblCellMar>
          <w:left w:w="0" w:type="dxa"/>
          <w:right w:w="0" w:type="dxa"/>
        </w:tblCellMar>
        <w:tblLook w:val="04A0" w:firstRow="1" w:lastRow="0" w:firstColumn="1" w:lastColumn="0" w:noHBand="0" w:noVBand="1"/>
      </w:tblPr>
      <w:tblGrid>
        <w:gridCol w:w="9026"/>
      </w:tblGrid>
      <w:tr w:rsidR="005E767B" w:rsidRPr="00082137" w:rsidTr="005E767B">
        <w:tc>
          <w:tcPr>
            <w:tcW w:w="5000" w:type="pct"/>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E767B" w:rsidRPr="00082137">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E767B" w:rsidRPr="00082137">
                    <w:tc>
                      <w:tcPr>
                        <w:tcW w:w="0" w:type="auto"/>
                        <w:tcBorders>
                          <w:top w:val="nil"/>
                          <w:left w:val="nil"/>
                          <w:bottom w:val="nil"/>
                          <w:right w:val="nil"/>
                        </w:tcBorders>
                        <w:vAlign w:val="bottom"/>
                        <w:hideMark/>
                      </w:tcPr>
                      <w:tbl>
                        <w:tblPr>
                          <w:tblW w:w="5000" w:type="pct"/>
                          <w:tblCellMar>
                            <w:left w:w="0" w:type="dxa"/>
                            <w:right w:w="0" w:type="dxa"/>
                          </w:tblCellMar>
                          <w:tblLook w:val="04A0" w:firstRow="1" w:lastRow="0" w:firstColumn="1" w:lastColumn="0" w:noHBand="0" w:noVBand="1"/>
                        </w:tblPr>
                        <w:tblGrid>
                          <w:gridCol w:w="9026"/>
                        </w:tblGrid>
                        <w:tr w:rsidR="005E767B" w:rsidRPr="00082137" w:rsidTr="005E767B">
                          <w:tc>
                            <w:tcPr>
                              <w:tcW w:w="0" w:type="auto"/>
                              <w:tcBorders>
                                <w:top w:val="nil"/>
                                <w:left w:val="nil"/>
                                <w:bottom w:val="nil"/>
                                <w:right w:val="nil"/>
                              </w:tcBorders>
                              <w:vAlign w:val="bottom"/>
                              <w:hideMark/>
                            </w:tcPr>
                            <w:p w:rsidR="005E767B" w:rsidRPr="00082137" w:rsidRDefault="005E767B" w:rsidP="00B57BC9">
                              <w:pPr>
                                <w:pStyle w:val="ListParagraph"/>
                                <w:numPr>
                                  <w:ilvl w:val="0"/>
                                  <w:numId w:val="28"/>
                                </w:numPr>
                                <w:spacing w:after="0" w:line="240" w:lineRule="auto"/>
                                <w:jc w:val="both"/>
                                <w:textAlignment w:val="baseline"/>
                                <w:rPr>
                                  <w:rFonts w:asciiTheme="minorBidi" w:eastAsia="Times New Roman" w:hAnsiTheme="minorBidi" w:cs="Times New Roman"/>
                                  <w:color w:val="000000" w:themeColor="text1"/>
                                  <w:sz w:val="24"/>
                                  <w:szCs w:val="24"/>
                                  <w:bdr w:val="none" w:sz="0" w:space="0" w:color="auto" w:frame="1"/>
                                  <w:lang w:eastAsia="id-ID"/>
                                </w:rPr>
                              </w:pPr>
                              <w:r w:rsidRPr="00082137">
                                <w:rPr>
                                  <w:rFonts w:asciiTheme="minorBidi" w:eastAsia="Times New Roman" w:hAnsiTheme="minorBidi" w:cs="Times New Roman"/>
                                  <w:color w:val="000000" w:themeColor="text1"/>
                                  <w:sz w:val="24"/>
                                  <w:szCs w:val="24"/>
                                  <w:bdr w:val="none" w:sz="0" w:space="0" w:color="auto" w:frame="1"/>
                                  <w:lang w:eastAsia="id-ID"/>
                                </w:rPr>
                                <w:t>JISDOR merupakan harga spot USD/IDR, yang disusun berdasarkan kurs transaksi USD/IDR terhadap rupiah antar bank di pasar valuta asing Indonesia, melalui Sistem Monitoring Transaksi Valuta Asing Terhadap Rupiah (SISMONTAVAR) di Bank Indonesia secara </w:t>
                              </w:r>
                              <w:r w:rsidRPr="00082137">
                                <w:rPr>
                                  <w:rFonts w:asciiTheme="minorBidi" w:eastAsia="Times New Roman" w:hAnsiTheme="minorBidi" w:cs="Times New Roman"/>
                                  <w:i/>
                                  <w:iCs/>
                                  <w:color w:val="000000" w:themeColor="text1"/>
                                  <w:sz w:val="24"/>
                                  <w:szCs w:val="24"/>
                                  <w:bdr w:val="none" w:sz="0" w:space="0" w:color="auto" w:frame="1"/>
                                  <w:lang w:eastAsia="id-ID"/>
                                </w:rPr>
                                <w:t>real time</w:t>
                              </w:r>
                              <w:r w:rsidRPr="00082137">
                                <w:rPr>
                                  <w:rFonts w:asciiTheme="minorBidi" w:eastAsia="Times New Roman" w:hAnsiTheme="minorBidi" w:cs="Times New Roman"/>
                                  <w:color w:val="000000" w:themeColor="text1"/>
                                  <w:sz w:val="24"/>
                                  <w:szCs w:val="24"/>
                                  <w:bdr w:val="none" w:sz="0" w:space="0" w:color="auto" w:frame="1"/>
                                  <w:lang w:eastAsia="id-ID"/>
                                </w:rPr>
                                <w:t>.</w:t>
                              </w:r>
                            </w:p>
                            <w:p w:rsidR="005E767B" w:rsidRPr="00082137" w:rsidRDefault="005E767B" w:rsidP="00B57BC9">
                              <w:pPr>
                                <w:pStyle w:val="ListParagraph"/>
                                <w:numPr>
                                  <w:ilvl w:val="0"/>
                                  <w:numId w:val="28"/>
                                </w:numPr>
                                <w:spacing w:after="0" w:line="240" w:lineRule="auto"/>
                                <w:jc w:val="both"/>
                                <w:textAlignment w:val="baseline"/>
                                <w:rPr>
                                  <w:rFonts w:asciiTheme="minorBidi" w:eastAsia="Times New Roman" w:hAnsiTheme="minorBidi" w:cs="Times New Roman"/>
                                  <w:color w:val="000000" w:themeColor="text1"/>
                                  <w:sz w:val="24"/>
                                  <w:szCs w:val="24"/>
                                  <w:bdr w:val="none" w:sz="0" w:space="0" w:color="auto" w:frame="1"/>
                                  <w:lang w:eastAsia="id-ID"/>
                                </w:rPr>
                              </w:pPr>
                              <w:r w:rsidRPr="00082137">
                                <w:rPr>
                                  <w:rFonts w:asciiTheme="minorBidi" w:eastAsia="Times New Roman" w:hAnsiTheme="minorBidi" w:cs="Times New Roman"/>
                                  <w:color w:val="000000" w:themeColor="text1"/>
                                  <w:sz w:val="24"/>
                                  <w:szCs w:val="24"/>
                                  <w:bdr w:val="none" w:sz="0" w:space="0" w:color="auto" w:frame="1"/>
                                  <w:lang w:eastAsia="id-ID"/>
                                </w:rPr>
                                <w:t>JISDOR dimaksudkan untuk memberikan referensi harga pasar yang representatif untuk transaksi spot USD/IDR pasar valuta asing Indonesia.</w:t>
                              </w:r>
                            </w:p>
                            <w:p w:rsidR="005E767B" w:rsidRPr="00082137" w:rsidRDefault="005E767B" w:rsidP="00B57BC9">
                              <w:pPr>
                                <w:pStyle w:val="ListParagraph"/>
                                <w:numPr>
                                  <w:ilvl w:val="0"/>
                                  <w:numId w:val="28"/>
                                </w:numPr>
                                <w:spacing w:after="0" w:line="240" w:lineRule="auto"/>
                                <w:jc w:val="both"/>
                                <w:textAlignment w:val="baseline"/>
                                <w:rPr>
                                  <w:rFonts w:asciiTheme="minorBidi" w:eastAsia="Times New Roman" w:hAnsiTheme="minorBidi" w:cs="Times New Roman"/>
                                  <w:color w:val="000000" w:themeColor="text1"/>
                                  <w:sz w:val="24"/>
                                  <w:szCs w:val="24"/>
                                  <w:bdr w:val="none" w:sz="0" w:space="0" w:color="auto" w:frame="1"/>
                                  <w:lang w:eastAsia="id-ID"/>
                                </w:rPr>
                              </w:pPr>
                              <w:r w:rsidRPr="00082137">
                                <w:rPr>
                                  <w:rFonts w:asciiTheme="minorBidi" w:eastAsia="Times New Roman" w:hAnsiTheme="minorBidi" w:cs="Times New Roman"/>
                                  <w:color w:val="000000" w:themeColor="text1"/>
                                  <w:sz w:val="24"/>
                                  <w:szCs w:val="24"/>
                                  <w:bdr w:val="none" w:sz="0" w:space="0" w:color="auto" w:frame="1"/>
                                  <w:lang w:eastAsia="id-ID"/>
                                </w:rPr>
                                <w:t>JISDOR mulai diterbitkan sejak 20 Mei 2013.</w:t>
                              </w:r>
                            </w:p>
                            <w:p w:rsidR="005E767B" w:rsidRPr="00082137" w:rsidRDefault="005E767B" w:rsidP="00B57BC9">
                              <w:pPr>
                                <w:spacing w:after="0" w:line="240" w:lineRule="auto"/>
                                <w:ind w:left="720"/>
                                <w:jc w:val="both"/>
                                <w:textAlignment w:val="baseline"/>
                                <w:rPr>
                                  <w:rFonts w:asciiTheme="minorBidi" w:eastAsia="Times New Roman" w:hAnsiTheme="minorBidi" w:cs="Times New Roman"/>
                                  <w:color w:val="000000" w:themeColor="text1"/>
                                  <w:sz w:val="24"/>
                                  <w:szCs w:val="24"/>
                                  <w:bdr w:val="none" w:sz="0" w:space="0" w:color="auto" w:frame="1"/>
                                  <w:lang w:eastAsia="id-ID"/>
                                </w:rPr>
                              </w:pPr>
                            </w:p>
                          </w:tc>
                        </w:tr>
                      </w:tbl>
                      <w:p w:rsidR="005E767B" w:rsidRPr="00082137" w:rsidRDefault="005E767B" w:rsidP="004D6F96">
                        <w:pPr>
                          <w:spacing w:after="0" w:line="240" w:lineRule="auto"/>
                          <w:textAlignment w:val="baseline"/>
                          <w:rPr>
                            <w:rFonts w:asciiTheme="minorBidi" w:eastAsia="Times New Roman" w:hAnsiTheme="minorBidi" w:cs="Times New Roman"/>
                            <w:color w:val="000000" w:themeColor="text1"/>
                            <w:sz w:val="24"/>
                            <w:szCs w:val="24"/>
                            <w:lang w:eastAsia="id-ID"/>
                          </w:rPr>
                        </w:pPr>
                      </w:p>
                    </w:tc>
                  </w:tr>
                </w:tbl>
                <w:p w:rsidR="005E767B" w:rsidRPr="00082137" w:rsidRDefault="005E767B" w:rsidP="004D6F96">
                  <w:pPr>
                    <w:spacing w:after="0" w:line="240" w:lineRule="auto"/>
                    <w:rPr>
                      <w:rFonts w:asciiTheme="minorBidi" w:eastAsia="Times New Roman" w:hAnsiTheme="minorBidi" w:cs="Times New Roman"/>
                      <w:color w:val="000000" w:themeColor="text1"/>
                      <w:sz w:val="24"/>
                      <w:szCs w:val="24"/>
                      <w:lang w:eastAsia="id-ID"/>
                    </w:rPr>
                  </w:pPr>
                </w:p>
              </w:tc>
            </w:tr>
          </w:tbl>
          <w:p w:rsidR="005E767B" w:rsidRPr="00082137" w:rsidRDefault="005E767B" w:rsidP="004D6F96">
            <w:pPr>
              <w:spacing w:after="0" w:line="240" w:lineRule="auto"/>
              <w:rPr>
                <w:rFonts w:asciiTheme="minorBidi" w:eastAsia="Times New Roman" w:hAnsiTheme="minorBidi" w:cs="Times New Roman"/>
                <w:color w:val="000000" w:themeColor="text1"/>
                <w:sz w:val="24"/>
                <w:szCs w:val="24"/>
                <w:lang w:eastAsia="id-ID"/>
              </w:rPr>
            </w:pPr>
          </w:p>
        </w:tc>
      </w:tr>
    </w:tbl>
    <w:p w:rsidR="00B57BC9" w:rsidRPr="00082137" w:rsidRDefault="00B57BC9" w:rsidP="00184E60">
      <w:pPr>
        <w:rPr>
          <w:rFonts w:asciiTheme="minorBidi" w:eastAsia="Times New Roman" w:hAnsiTheme="minorBidi" w:cs="Times New Roman"/>
          <w:b/>
          <w:bCs/>
          <w:color w:val="000000" w:themeColor="text1"/>
          <w:kern w:val="36"/>
          <w:sz w:val="24"/>
          <w:szCs w:val="24"/>
          <w:lang w:eastAsia="id-ID"/>
        </w:rPr>
      </w:pPr>
    </w:p>
    <w:sectPr w:rsidR="00B57BC9" w:rsidRPr="000821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270A"/>
    <w:multiLevelType w:val="hybridMultilevel"/>
    <w:tmpl w:val="AADEAB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C4267FB"/>
    <w:multiLevelType w:val="multilevel"/>
    <w:tmpl w:val="BE9AB0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F1515"/>
    <w:multiLevelType w:val="hybridMultilevel"/>
    <w:tmpl w:val="1C6CDA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8F6491"/>
    <w:multiLevelType w:val="multilevel"/>
    <w:tmpl w:val="A47A4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952564"/>
    <w:multiLevelType w:val="hybridMultilevel"/>
    <w:tmpl w:val="72662B0E"/>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15C28B9"/>
    <w:multiLevelType w:val="multilevel"/>
    <w:tmpl w:val="EC5E6D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5C271C5"/>
    <w:multiLevelType w:val="hybridMultilevel"/>
    <w:tmpl w:val="C900AB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79321E"/>
    <w:multiLevelType w:val="hybridMultilevel"/>
    <w:tmpl w:val="EC6CB4EA"/>
    <w:lvl w:ilvl="0" w:tplc="04210005">
      <w:start w:val="1"/>
      <w:numFmt w:val="bullet"/>
      <w:lvlText w:val=""/>
      <w:lvlJc w:val="left"/>
      <w:pPr>
        <w:ind w:left="265" w:hanging="360"/>
      </w:pPr>
      <w:rPr>
        <w:rFonts w:ascii="Wingdings" w:hAnsi="Wingdings" w:hint="default"/>
      </w:rPr>
    </w:lvl>
    <w:lvl w:ilvl="1" w:tplc="04210003" w:tentative="1">
      <w:start w:val="1"/>
      <w:numFmt w:val="bullet"/>
      <w:lvlText w:val="o"/>
      <w:lvlJc w:val="left"/>
      <w:pPr>
        <w:ind w:left="985" w:hanging="360"/>
      </w:pPr>
      <w:rPr>
        <w:rFonts w:ascii="Courier New" w:hAnsi="Courier New" w:cs="Courier New" w:hint="default"/>
      </w:rPr>
    </w:lvl>
    <w:lvl w:ilvl="2" w:tplc="04210005" w:tentative="1">
      <w:start w:val="1"/>
      <w:numFmt w:val="bullet"/>
      <w:lvlText w:val=""/>
      <w:lvlJc w:val="left"/>
      <w:pPr>
        <w:ind w:left="1705" w:hanging="360"/>
      </w:pPr>
      <w:rPr>
        <w:rFonts w:ascii="Wingdings" w:hAnsi="Wingdings" w:hint="default"/>
      </w:rPr>
    </w:lvl>
    <w:lvl w:ilvl="3" w:tplc="04210001" w:tentative="1">
      <w:start w:val="1"/>
      <w:numFmt w:val="bullet"/>
      <w:lvlText w:val=""/>
      <w:lvlJc w:val="left"/>
      <w:pPr>
        <w:ind w:left="2425" w:hanging="360"/>
      </w:pPr>
      <w:rPr>
        <w:rFonts w:ascii="Symbol" w:hAnsi="Symbol" w:hint="default"/>
      </w:rPr>
    </w:lvl>
    <w:lvl w:ilvl="4" w:tplc="04210003" w:tentative="1">
      <w:start w:val="1"/>
      <w:numFmt w:val="bullet"/>
      <w:lvlText w:val="o"/>
      <w:lvlJc w:val="left"/>
      <w:pPr>
        <w:ind w:left="3145" w:hanging="360"/>
      </w:pPr>
      <w:rPr>
        <w:rFonts w:ascii="Courier New" w:hAnsi="Courier New" w:cs="Courier New" w:hint="default"/>
      </w:rPr>
    </w:lvl>
    <w:lvl w:ilvl="5" w:tplc="04210005" w:tentative="1">
      <w:start w:val="1"/>
      <w:numFmt w:val="bullet"/>
      <w:lvlText w:val=""/>
      <w:lvlJc w:val="left"/>
      <w:pPr>
        <w:ind w:left="3865" w:hanging="360"/>
      </w:pPr>
      <w:rPr>
        <w:rFonts w:ascii="Wingdings" w:hAnsi="Wingdings" w:hint="default"/>
      </w:rPr>
    </w:lvl>
    <w:lvl w:ilvl="6" w:tplc="04210001" w:tentative="1">
      <w:start w:val="1"/>
      <w:numFmt w:val="bullet"/>
      <w:lvlText w:val=""/>
      <w:lvlJc w:val="left"/>
      <w:pPr>
        <w:ind w:left="4585" w:hanging="360"/>
      </w:pPr>
      <w:rPr>
        <w:rFonts w:ascii="Symbol" w:hAnsi="Symbol" w:hint="default"/>
      </w:rPr>
    </w:lvl>
    <w:lvl w:ilvl="7" w:tplc="04210003" w:tentative="1">
      <w:start w:val="1"/>
      <w:numFmt w:val="bullet"/>
      <w:lvlText w:val="o"/>
      <w:lvlJc w:val="left"/>
      <w:pPr>
        <w:ind w:left="5305" w:hanging="360"/>
      </w:pPr>
      <w:rPr>
        <w:rFonts w:ascii="Courier New" w:hAnsi="Courier New" w:cs="Courier New" w:hint="default"/>
      </w:rPr>
    </w:lvl>
    <w:lvl w:ilvl="8" w:tplc="04210005" w:tentative="1">
      <w:start w:val="1"/>
      <w:numFmt w:val="bullet"/>
      <w:lvlText w:val=""/>
      <w:lvlJc w:val="left"/>
      <w:pPr>
        <w:ind w:left="6025" w:hanging="360"/>
      </w:pPr>
      <w:rPr>
        <w:rFonts w:ascii="Wingdings" w:hAnsi="Wingdings" w:hint="default"/>
      </w:rPr>
    </w:lvl>
  </w:abstractNum>
  <w:abstractNum w:abstractNumId="8">
    <w:nsid w:val="1886107B"/>
    <w:multiLevelType w:val="multilevel"/>
    <w:tmpl w:val="E65E27B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77005A"/>
    <w:multiLevelType w:val="multilevel"/>
    <w:tmpl w:val="37D2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275BFE"/>
    <w:multiLevelType w:val="multilevel"/>
    <w:tmpl w:val="F79E1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531082"/>
    <w:multiLevelType w:val="multilevel"/>
    <w:tmpl w:val="DE26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8B037B"/>
    <w:multiLevelType w:val="multilevel"/>
    <w:tmpl w:val="6BA289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79B15B5"/>
    <w:multiLevelType w:val="multilevel"/>
    <w:tmpl w:val="D15A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3E164D"/>
    <w:multiLevelType w:val="multilevel"/>
    <w:tmpl w:val="5C5A4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A81294"/>
    <w:multiLevelType w:val="multilevel"/>
    <w:tmpl w:val="C452F4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F4B7442"/>
    <w:multiLevelType w:val="multilevel"/>
    <w:tmpl w:val="9B36F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03A3B2F"/>
    <w:multiLevelType w:val="multilevel"/>
    <w:tmpl w:val="71E0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296334A"/>
    <w:multiLevelType w:val="multilevel"/>
    <w:tmpl w:val="BF6C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625ED0"/>
    <w:multiLevelType w:val="multilevel"/>
    <w:tmpl w:val="4E20B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181F37"/>
    <w:multiLevelType w:val="multilevel"/>
    <w:tmpl w:val="4FE2F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2811CD"/>
    <w:multiLevelType w:val="multilevel"/>
    <w:tmpl w:val="0E82F4A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00174B0"/>
    <w:multiLevelType w:val="multilevel"/>
    <w:tmpl w:val="A28077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545D2F0A"/>
    <w:multiLevelType w:val="hybridMultilevel"/>
    <w:tmpl w:val="94864624"/>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577F7E9B"/>
    <w:multiLevelType w:val="multilevel"/>
    <w:tmpl w:val="AF38A1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7E2878"/>
    <w:multiLevelType w:val="hybridMultilevel"/>
    <w:tmpl w:val="99F83C7C"/>
    <w:lvl w:ilvl="0" w:tplc="04210005">
      <w:start w:val="1"/>
      <w:numFmt w:val="bullet"/>
      <w:lvlText w:val=""/>
      <w:lvlJc w:val="left"/>
      <w:pPr>
        <w:ind w:left="265" w:hanging="360"/>
      </w:pPr>
      <w:rPr>
        <w:rFonts w:ascii="Wingdings" w:hAnsi="Wingdings" w:hint="default"/>
      </w:rPr>
    </w:lvl>
    <w:lvl w:ilvl="1" w:tplc="04210003" w:tentative="1">
      <w:start w:val="1"/>
      <w:numFmt w:val="bullet"/>
      <w:lvlText w:val="o"/>
      <w:lvlJc w:val="left"/>
      <w:pPr>
        <w:ind w:left="985" w:hanging="360"/>
      </w:pPr>
      <w:rPr>
        <w:rFonts w:ascii="Courier New" w:hAnsi="Courier New" w:cs="Courier New" w:hint="default"/>
      </w:rPr>
    </w:lvl>
    <w:lvl w:ilvl="2" w:tplc="04210005" w:tentative="1">
      <w:start w:val="1"/>
      <w:numFmt w:val="bullet"/>
      <w:lvlText w:val=""/>
      <w:lvlJc w:val="left"/>
      <w:pPr>
        <w:ind w:left="1705" w:hanging="360"/>
      </w:pPr>
      <w:rPr>
        <w:rFonts w:ascii="Wingdings" w:hAnsi="Wingdings" w:hint="default"/>
      </w:rPr>
    </w:lvl>
    <w:lvl w:ilvl="3" w:tplc="04210001" w:tentative="1">
      <w:start w:val="1"/>
      <w:numFmt w:val="bullet"/>
      <w:lvlText w:val=""/>
      <w:lvlJc w:val="left"/>
      <w:pPr>
        <w:ind w:left="2425" w:hanging="360"/>
      </w:pPr>
      <w:rPr>
        <w:rFonts w:ascii="Symbol" w:hAnsi="Symbol" w:hint="default"/>
      </w:rPr>
    </w:lvl>
    <w:lvl w:ilvl="4" w:tplc="04210003" w:tentative="1">
      <w:start w:val="1"/>
      <w:numFmt w:val="bullet"/>
      <w:lvlText w:val="o"/>
      <w:lvlJc w:val="left"/>
      <w:pPr>
        <w:ind w:left="3145" w:hanging="360"/>
      </w:pPr>
      <w:rPr>
        <w:rFonts w:ascii="Courier New" w:hAnsi="Courier New" w:cs="Courier New" w:hint="default"/>
      </w:rPr>
    </w:lvl>
    <w:lvl w:ilvl="5" w:tplc="04210005" w:tentative="1">
      <w:start w:val="1"/>
      <w:numFmt w:val="bullet"/>
      <w:lvlText w:val=""/>
      <w:lvlJc w:val="left"/>
      <w:pPr>
        <w:ind w:left="3865" w:hanging="360"/>
      </w:pPr>
      <w:rPr>
        <w:rFonts w:ascii="Wingdings" w:hAnsi="Wingdings" w:hint="default"/>
      </w:rPr>
    </w:lvl>
    <w:lvl w:ilvl="6" w:tplc="04210001" w:tentative="1">
      <w:start w:val="1"/>
      <w:numFmt w:val="bullet"/>
      <w:lvlText w:val=""/>
      <w:lvlJc w:val="left"/>
      <w:pPr>
        <w:ind w:left="4585" w:hanging="360"/>
      </w:pPr>
      <w:rPr>
        <w:rFonts w:ascii="Symbol" w:hAnsi="Symbol" w:hint="default"/>
      </w:rPr>
    </w:lvl>
    <w:lvl w:ilvl="7" w:tplc="04210003" w:tentative="1">
      <w:start w:val="1"/>
      <w:numFmt w:val="bullet"/>
      <w:lvlText w:val="o"/>
      <w:lvlJc w:val="left"/>
      <w:pPr>
        <w:ind w:left="5305" w:hanging="360"/>
      </w:pPr>
      <w:rPr>
        <w:rFonts w:ascii="Courier New" w:hAnsi="Courier New" w:cs="Courier New" w:hint="default"/>
      </w:rPr>
    </w:lvl>
    <w:lvl w:ilvl="8" w:tplc="04210005" w:tentative="1">
      <w:start w:val="1"/>
      <w:numFmt w:val="bullet"/>
      <w:lvlText w:val=""/>
      <w:lvlJc w:val="left"/>
      <w:pPr>
        <w:ind w:left="6025" w:hanging="360"/>
      </w:pPr>
      <w:rPr>
        <w:rFonts w:ascii="Wingdings" w:hAnsi="Wingdings" w:hint="default"/>
      </w:rPr>
    </w:lvl>
  </w:abstractNum>
  <w:abstractNum w:abstractNumId="26">
    <w:nsid w:val="5BBF01CF"/>
    <w:multiLevelType w:val="multilevel"/>
    <w:tmpl w:val="10CCC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C765A5"/>
    <w:multiLevelType w:val="hybridMultilevel"/>
    <w:tmpl w:val="6CD22DB2"/>
    <w:lvl w:ilvl="0" w:tplc="04210019">
      <w:start w:val="1"/>
      <w:numFmt w:val="lowerLetter"/>
      <w:lvlText w:val="%1."/>
      <w:lvlJc w:val="left"/>
      <w:pPr>
        <w:ind w:left="2336" w:hanging="360"/>
      </w:pPr>
    </w:lvl>
    <w:lvl w:ilvl="1" w:tplc="04210019">
      <w:start w:val="1"/>
      <w:numFmt w:val="lowerLetter"/>
      <w:lvlText w:val="%2."/>
      <w:lvlJc w:val="left"/>
      <w:pPr>
        <w:ind w:left="3056" w:hanging="360"/>
      </w:pPr>
    </w:lvl>
    <w:lvl w:ilvl="2" w:tplc="0421001B" w:tentative="1">
      <w:start w:val="1"/>
      <w:numFmt w:val="lowerRoman"/>
      <w:lvlText w:val="%3."/>
      <w:lvlJc w:val="right"/>
      <w:pPr>
        <w:ind w:left="3776" w:hanging="180"/>
      </w:pPr>
    </w:lvl>
    <w:lvl w:ilvl="3" w:tplc="0421000F" w:tentative="1">
      <w:start w:val="1"/>
      <w:numFmt w:val="decimal"/>
      <w:lvlText w:val="%4."/>
      <w:lvlJc w:val="left"/>
      <w:pPr>
        <w:ind w:left="4496" w:hanging="360"/>
      </w:pPr>
    </w:lvl>
    <w:lvl w:ilvl="4" w:tplc="04210019" w:tentative="1">
      <w:start w:val="1"/>
      <w:numFmt w:val="lowerLetter"/>
      <w:lvlText w:val="%5."/>
      <w:lvlJc w:val="left"/>
      <w:pPr>
        <w:ind w:left="5216" w:hanging="360"/>
      </w:pPr>
    </w:lvl>
    <w:lvl w:ilvl="5" w:tplc="0421001B" w:tentative="1">
      <w:start w:val="1"/>
      <w:numFmt w:val="lowerRoman"/>
      <w:lvlText w:val="%6."/>
      <w:lvlJc w:val="right"/>
      <w:pPr>
        <w:ind w:left="5936" w:hanging="180"/>
      </w:pPr>
    </w:lvl>
    <w:lvl w:ilvl="6" w:tplc="0421000F" w:tentative="1">
      <w:start w:val="1"/>
      <w:numFmt w:val="decimal"/>
      <w:lvlText w:val="%7."/>
      <w:lvlJc w:val="left"/>
      <w:pPr>
        <w:ind w:left="6656" w:hanging="360"/>
      </w:pPr>
    </w:lvl>
    <w:lvl w:ilvl="7" w:tplc="04210019" w:tentative="1">
      <w:start w:val="1"/>
      <w:numFmt w:val="lowerLetter"/>
      <w:lvlText w:val="%8."/>
      <w:lvlJc w:val="left"/>
      <w:pPr>
        <w:ind w:left="7376" w:hanging="360"/>
      </w:pPr>
    </w:lvl>
    <w:lvl w:ilvl="8" w:tplc="0421001B" w:tentative="1">
      <w:start w:val="1"/>
      <w:numFmt w:val="lowerRoman"/>
      <w:lvlText w:val="%9."/>
      <w:lvlJc w:val="right"/>
      <w:pPr>
        <w:ind w:left="8096" w:hanging="180"/>
      </w:pPr>
    </w:lvl>
  </w:abstractNum>
  <w:abstractNum w:abstractNumId="28">
    <w:nsid w:val="6DD379BD"/>
    <w:multiLevelType w:val="multilevel"/>
    <w:tmpl w:val="14684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4F60D1"/>
    <w:multiLevelType w:val="multilevel"/>
    <w:tmpl w:val="1D42BD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72296725"/>
    <w:multiLevelType w:val="multilevel"/>
    <w:tmpl w:val="8900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2E1CEB"/>
    <w:multiLevelType w:val="multilevel"/>
    <w:tmpl w:val="5718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6A27788"/>
    <w:multiLevelType w:val="multilevel"/>
    <w:tmpl w:val="C02278D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0429AC"/>
    <w:multiLevelType w:val="hybridMultilevel"/>
    <w:tmpl w:val="E7A66D1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77A95B4B"/>
    <w:multiLevelType w:val="multilevel"/>
    <w:tmpl w:val="16A046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FA669D0"/>
    <w:multiLevelType w:val="multilevel"/>
    <w:tmpl w:val="498018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0"/>
  </w:num>
  <w:num w:numId="3">
    <w:abstractNumId w:val="20"/>
  </w:num>
  <w:num w:numId="4">
    <w:abstractNumId w:val="19"/>
  </w:num>
  <w:num w:numId="5">
    <w:abstractNumId w:val="28"/>
  </w:num>
  <w:num w:numId="6">
    <w:abstractNumId w:val="14"/>
  </w:num>
  <w:num w:numId="7">
    <w:abstractNumId w:val="22"/>
  </w:num>
  <w:num w:numId="8">
    <w:abstractNumId w:val="12"/>
  </w:num>
  <w:num w:numId="9">
    <w:abstractNumId w:val="5"/>
  </w:num>
  <w:num w:numId="10">
    <w:abstractNumId w:val="15"/>
  </w:num>
  <w:num w:numId="11">
    <w:abstractNumId w:val="26"/>
  </w:num>
  <w:num w:numId="12">
    <w:abstractNumId w:val="9"/>
  </w:num>
  <w:num w:numId="13">
    <w:abstractNumId w:val="32"/>
  </w:num>
  <w:num w:numId="14">
    <w:abstractNumId w:val="3"/>
  </w:num>
  <w:num w:numId="15">
    <w:abstractNumId w:val="3"/>
    <w:lvlOverride w:ilvl="2">
      <w:lvl w:ilvl="2">
        <w:numFmt w:val="decimal"/>
        <w:lvlText w:val="%3."/>
        <w:lvlJc w:val="left"/>
      </w:lvl>
    </w:lvlOverride>
  </w:num>
  <w:num w:numId="16">
    <w:abstractNumId w:val="18"/>
  </w:num>
  <w:num w:numId="17">
    <w:abstractNumId w:val="29"/>
  </w:num>
  <w:num w:numId="18">
    <w:abstractNumId w:val="13"/>
  </w:num>
  <w:num w:numId="19">
    <w:abstractNumId w:val="11"/>
  </w:num>
  <w:num w:numId="20">
    <w:abstractNumId w:val="16"/>
  </w:num>
  <w:num w:numId="21">
    <w:abstractNumId w:val="17"/>
  </w:num>
  <w:num w:numId="22">
    <w:abstractNumId w:val="0"/>
  </w:num>
  <w:num w:numId="23">
    <w:abstractNumId w:val="30"/>
  </w:num>
  <w:num w:numId="24">
    <w:abstractNumId w:val="34"/>
  </w:num>
  <w:num w:numId="25">
    <w:abstractNumId w:val="6"/>
  </w:num>
  <w:num w:numId="26">
    <w:abstractNumId w:val="2"/>
  </w:num>
  <w:num w:numId="27">
    <w:abstractNumId w:val="1"/>
  </w:num>
  <w:num w:numId="28">
    <w:abstractNumId w:val="23"/>
  </w:num>
  <w:num w:numId="29">
    <w:abstractNumId w:val="21"/>
  </w:num>
  <w:num w:numId="30">
    <w:abstractNumId w:val="27"/>
  </w:num>
  <w:num w:numId="31">
    <w:abstractNumId w:val="8"/>
  </w:num>
  <w:num w:numId="32">
    <w:abstractNumId w:val="24"/>
  </w:num>
  <w:num w:numId="33">
    <w:abstractNumId w:val="35"/>
  </w:num>
  <w:num w:numId="34">
    <w:abstractNumId w:val="25"/>
  </w:num>
  <w:num w:numId="35">
    <w:abstractNumId w:val="7"/>
  </w:num>
  <w:num w:numId="36">
    <w:abstractNumId w:val="3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E6C"/>
    <w:rsid w:val="00082137"/>
    <w:rsid w:val="000E61BC"/>
    <w:rsid w:val="00184E60"/>
    <w:rsid w:val="0032164A"/>
    <w:rsid w:val="00327D0F"/>
    <w:rsid w:val="00471C3E"/>
    <w:rsid w:val="004D6F96"/>
    <w:rsid w:val="00525163"/>
    <w:rsid w:val="005417FE"/>
    <w:rsid w:val="005723FC"/>
    <w:rsid w:val="005B12F8"/>
    <w:rsid w:val="005E767B"/>
    <w:rsid w:val="0076255F"/>
    <w:rsid w:val="007A0E46"/>
    <w:rsid w:val="008268EB"/>
    <w:rsid w:val="008868C6"/>
    <w:rsid w:val="008E67F3"/>
    <w:rsid w:val="00A24B0C"/>
    <w:rsid w:val="00A4061F"/>
    <w:rsid w:val="00B3769C"/>
    <w:rsid w:val="00B51C83"/>
    <w:rsid w:val="00B57BC9"/>
    <w:rsid w:val="00B72AEB"/>
    <w:rsid w:val="00B77E6C"/>
    <w:rsid w:val="00C67E92"/>
    <w:rsid w:val="00CB7415"/>
    <w:rsid w:val="00E65CE4"/>
    <w:rsid w:val="00EE12F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7E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5">
    <w:name w:val="heading 5"/>
    <w:basedOn w:val="Normal"/>
    <w:next w:val="Normal"/>
    <w:link w:val="Heading5Char"/>
    <w:uiPriority w:val="9"/>
    <w:semiHidden/>
    <w:unhideWhenUsed/>
    <w:qFormat/>
    <w:rsid w:val="008268E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7E6C"/>
    <w:rPr>
      <w:b/>
      <w:bCs/>
    </w:rPr>
  </w:style>
  <w:style w:type="paragraph" w:styleId="NormalWeb">
    <w:name w:val="Normal (Web)"/>
    <w:basedOn w:val="Normal"/>
    <w:uiPriority w:val="99"/>
    <w:unhideWhenUsed/>
    <w:rsid w:val="00B77E6C"/>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ms-rtethemefontface-1">
    <w:name w:val="ms-rtethemefontface-1"/>
    <w:basedOn w:val="Normal"/>
    <w:rsid w:val="00B77E6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B77E6C"/>
  </w:style>
  <w:style w:type="character" w:styleId="Emphasis">
    <w:name w:val="Emphasis"/>
    <w:basedOn w:val="DefaultParagraphFont"/>
    <w:uiPriority w:val="20"/>
    <w:qFormat/>
    <w:rsid w:val="00B77E6C"/>
    <w:rPr>
      <w:i/>
      <w:iCs/>
    </w:rPr>
  </w:style>
  <w:style w:type="character" w:customStyle="1" w:styleId="ms-rtethemeforecolor-2-2">
    <w:name w:val="ms-rtethemeforecolor-2-2"/>
    <w:basedOn w:val="DefaultParagraphFont"/>
    <w:rsid w:val="00B77E6C"/>
  </w:style>
  <w:style w:type="character" w:styleId="Hyperlink">
    <w:name w:val="Hyperlink"/>
    <w:basedOn w:val="DefaultParagraphFont"/>
    <w:uiPriority w:val="99"/>
    <w:semiHidden/>
    <w:unhideWhenUsed/>
    <w:rsid w:val="00B77E6C"/>
    <w:rPr>
      <w:color w:val="0000FF"/>
      <w:u w:val="single"/>
    </w:rPr>
  </w:style>
  <w:style w:type="paragraph" w:customStyle="1" w:styleId="ms-rtefontsize-1">
    <w:name w:val="ms-rtefontsize-1"/>
    <w:basedOn w:val="Normal"/>
    <w:rsid w:val="00B77E6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77E6C"/>
    <w:rPr>
      <w:rFonts w:ascii="Times New Roman" w:eastAsia="Times New Roman" w:hAnsi="Times New Roman" w:cs="Times New Roman"/>
      <w:b/>
      <w:bCs/>
      <w:kern w:val="36"/>
      <w:sz w:val="48"/>
      <w:szCs w:val="48"/>
      <w:lang w:eastAsia="id-ID"/>
    </w:rPr>
  </w:style>
  <w:style w:type="character" w:customStyle="1" w:styleId="ms-rtefontsize-11">
    <w:name w:val="ms-rtefontsize-11"/>
    <w:basedOn w:val="DefaultParagraphFont"/>
    <w:rsid w:val="00B77E6C"/>
  </w:style>
  <w:style w:type="paragraph" w:styleId="BalloonText">
    <w:name w:val="Balloon Text"/>
    <w:basedOn w:val="Normal"/>
    <w:link w:val="BalloonTextChar"/>
    <w:uiPriority w:val="99"/>
    <w:semiHidden/>
    <w:unhideWhenUsed/>
    <w:rsid w:val="00B72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AEB"/>
    <w:rPr>
      <w:rFonts w:ascii="Tahoma" w:hAnsi="Tahoma" w:cs="Tahoma"/>
      <w:sz w:val="16"/>
      <w:szCs w:val="16"/>
    </w:rPr>
  </w:style>
  <w:style w:type="paragraph" w:customStyle="1" w:styleId="ms-rtethemefontface-2">
    <w:name w:val="ms-rtethemefontface-2"/>
    <w:basedOn w:val="Normal"/>
    <w:rsid w:val="005E767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ms-rtethemefontface-11">
    <w:name w:val="ms-rtethemefontface-11"/>
    <w:basedOn w:val="Normal"/>
    <w:rsid w:val="005E767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EE12F0"/>
    <w:pPr>
      <w:ind w:left="720"/>
      <w:contextualSpacing/>
    </w:pPr>
  </w:style>
  <w:style w:type="character" w:customStyle="1" w:styleId="Heading5Char">
    <w:name w:val="Heading 5 Char"/>
    <w:basedOn w:val="DefaultParagraphFont"/>
    <w:link w:val="Heading5"/>
    <w:uiPriority w:val="9"/>
    <w:semiHidden/>
    <w:rsid w:val="008268EB"/>
    <w:rPr>
      <w:rFonts w:asciiTheme="majorHAnsi" w:eastAsiaTheme="majorEastAsia" w:hAnsiTheme="majorHAnsi" w:cstheme="majorBidi"/>
      <w:color w:val="243F60" w:themeColor="accent1" w:themeShade="7F"/>
    </w:rPr>
  </w:style>
  <w:style w:type="character" w:customStyle="1" w:styleId="label">
    <w:name w:val="label"/>
    <w:basedOn w:val="DefaultParagraphFont"/>
    <w:rsid w:val="00826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77E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5">
    <w:name w:val="heading 5"/>
    <w:basedOn w:val="Normal"/>
    <w:next w:val="Normal"/>
    <w:link w:val="Heading5Char"/>
    <w:uiPriority w:val="9"/>
    <w:semiHidden/>
    <w:unhideWhenUsed/>
    <w:qFormat/>
    <w:rsid w:val="008268E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7E6C"/>
    <w:rPr>
      <w:b/>
      <w:bCs/>
    </w:rPr>
  </w:style>
  <w:style w:type="paragraph" w:styleId="NormalWeb">
    <w:name w:val="Normal (Web)"/>
    <w:basedOn w:val="Normal"/>
    <w:uiPriority w:val="99"/>
    <w:unhideWhenUsed/>
    <w:rsid w:val="00B77E6C"/>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ms-rtethemefontface-1">
    <w:name w:val="ms-rtethemefontface-1"/>
    <w:basedOn w:val="Normal"/>
    <w:rsid w:val="00B77E6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B77E6C"/>
  </w:style>
  <w:style w:type="character" w:styleId="Emphasis">
    <w:name w:val="Emphasis"/>
    <w:basedOn w:val="DefaultParagraphFont"/>
    <w:uiPriority w:val="20"/>
    <w:qFormat/>
    <w:rsid w:val="00B77E6C"/>
    <w:rPr>
      <w:i/>
      <w:iCs/>
    </w:rPr>
  </w:style>
  <w:style w:type="character" w:customStyle="1" w:styleId="ms-rtethemeforecolor-2-2">
    <w:name w:val="ms-rtethemeforecolor-2-2"/>
    <w:basedOn w:val="DefaultParagraphFont"/>
    <w:rsid w:val="00B77E6C"/>
  </w:style>
  <w:style w:type="character" w:styleId="Hyperlink">
    <w:name w:val="Hyperlink"/>
    <w:basedOn w:val="DefaultParagraphFont"/>
    <w:uiPriority w:val="99"/>
    <w:semiHidden/>
    <w:unhideWhenUsed/>
    <w:rsid w:val="00B77E6C"/>
    <w:rPr>
      <w:color w:val="0000FF"/>
      <w:u w:val="single"/>
    </w:rPr>
  </w:style>
  <w:style w:type="paragraph" w:customStyle="1" w:styleId="ms-rtefontsize-1">
    <w:name w:val="ms-rtefontsize-1"/>
    <w:basedOn w:val="Normal"/>
    <w:rsid w:val="00B77E6C"/>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77E6C"/>
    <w:rPr>
      <w:rFonts w:ascii="Times New Roman" w:eastAsia="Times New Roman" w:hAnsi="Times New Roman" w:cs="Times New Roman"/>
      <w:b/>
      <w:bCs/>
      <w:kern w:val="36"/>
      <w:sz w:val="48"/>
      <w:szCs w:val="48"/>
      <w:lang w:eastAsia="id-ID"/>
    </w:rPr>
  </w:style>
  <w:style w:type="character" w:customStyle="1" w:styleId="ms-rtefontsize-11">
    <w:name w:val="ms-rtefontsize-11"/>
    <w:basedOn w:val="DefaultParagraphFont"/>
    <w:rsid w:val="00B77E6C"/>
  </w:style>
  <w:style w:type="paragraph" w:styleId="BalloonText">
    <w:name w:val="Balloon Text"/>
    <w:basedOn w:val="Normal"/>
    <w:link w:val="BalloonTextChar"/>
    <w:uiPriority w:val="99"/>
    <w:semiHidden/>
    <w:unhideWhenUsed/>
    <w:rsid w:val="00B72A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AEB"/>
    <w:rPr>
      <w:rFonts w:ascii="Tahoma" w:hAnsi="Tahoma" w:cs="Tahoma"/>
      <w:sz w:val="16"/>
      <w:szCs w:val="16"/>
    </w:rPr>
  </w:style>
  <w:style w:type="paragraph" w:customStyle="1" w:styleId="ms-rtethemefontface-2">
    <w:name w:val="ms-rtethemefontface-2"/>
    <w:basedOn w:val="Normal"/>
    <w:rsid w:val="005E767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ms-rtethemefontface-11">
    <w:name w:val="ms-rtethemefontface-11"/>
    <w:basedOn w:val="Normal"/>
    <w:rsid w:val="005E767B"/>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basedOn w:val="Normal"/>
    <w:uiPriority w:val="34"/>
    <w:qFormat/>
    <w:rsid w:val="00EE12F0"/>
    <w:pPr>
      <w:ind w:left="720"/>
      <w:contextualSpacing/>
    </w:pPr>
  </w:style>
  <w:style w:type="character" w:customStyle="1" w:styleId="Heading5Char">
    <w:name w:val="Heading 5 Char"/>
    <w:basedOn w:val="DefaultParagraphFont"/>
    <w:link w:val="Heading5"/>
    <w:uiPriority w:val="9"/>
    <w:semiHidden/>
    <w:rsid w:val="008268EB"/>
    <w:rPr>
      <w:rFonts w:asciiTheme="majorHAnsi" w:eastAsiaTheme="majorEastAsia" w:hAnsiTheme="majorHAnsi" w:cstheme="majorBidi"/>
      <w:color w:val="243F60" w:themeColor="accent1" w:themeShade="7F"/>
    </w:rPr>
  </w:style>
  <w:style w:type="character" w:customStyle="1" w:styleId="label">
    <w:name w:val="label"/>
    <w:basedOn w:val="DefaultParagraphFont"/>
    <w:rsid w:val="00826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051">
      <w:bodyDiv w:val="1"/>
      <w:marLeft w:val="0"/>
      <w:marRight w:val="0"/>
      <w:marTop w:val="0"/>
      <w:marBottom w:val="0"/>
      <w:divBdr>
        <w:top w:val="none" w:sz="0" w:space="0" w:color="auto"/>
        <w:left w:val="none" w:sz="0" w:space="0" w:color="auto"/>
        <w:bottom w:val="none" w:sz="0" w:space="0" w:color="auto"/>
        <w:right w:val="none" w:sz="0" w:space="0" w:color="auto"/>
      </w:divBdr>
      <w:divsChild>
        <w:div w:id="1078401860">
          <w:marLeft w:val="0"/>
          <w:marRight w:val="0"/>
          <w:marTop w:val="0"/>
          <w:marBottom w:val="0"/>
          <w:divBdr>
            <w:top w:val="none" w:sz="0" w:space="0" w:color="auto"/>
            <w:left w:val="none" w:sz="0" w:space="0" w:color="auto"/>
            <w:bottom w:val="none" w:sz="0" w:space="0" w:color="auto"/>
            <w:right w:val="none" w:sz="0" w:space="0" w:color="auto"/>
          </w:divBdr>
        </w:div>
        <w:div w:id="969366007">
          <w:marLeft w:val="0"/>
          <w:marRight w:val="0"/>
          <w:marTop w:val="0"/>
          <w:marBottom w:val="0"/>
          <w:divBdr>
            <w:top w:val="none" w:sz="0" w:space="0" w:color="auto"/>
            <w:left w:val="none" w:sz="0" w:space="0" w:color="auto"/>
            <w:bottom w:val="none" w:sz="0" w:space="0" w:color="auto"/>
            <w:right w:val="none" w:sz="0" w:space="0" w:color="auto"/>
          </w:divBdr>
        </w:div>
        <w:div w:id="1895770525">
          <w:marLeft w:val="0"/>
          <w:marRight w:val="0"/>
          <w:marTop w:val="0"/>
          <w:marBottom w:val="0"/>
          <w:divBdr>
            <w:top w:val="none" w:sz="0" w:space="0" w:color="auto"/>
            <w:left w:val="none" w:sz="0" w:space="0" w:color="auto"/>
            <w:bottom w:val="none" w:sz="0" w:space="0" w:color="auto"/>
            <w:right w:val="none" w:sz="0" w:space="0" w:color="auto"/>
          </w:divBdr>
        </w:div>
      </w:divsChild>
    </w:div>
    <w:div w:id="51778815">
      <w:bodyDiv w:val="1"/>
      <w:marLeft w:val="0"/>
      <w:marRight w:val="0"/>
      <w:marTop w:val="0"/>
      <w:marBottom w:val="0"/>
      <w:divBdr>
        <w:top w:val="none" w:sz="0" w:space="0" w:color="auto"/>
        <w:left w:val="none" w:sz="0" w:space="0" w:color="auto"/>
        <w:bottom w:val="none" w:sz="0" w:space="0" w:color="auto"/>
        <w:right w:val="none" w:sz="0" w:space="0" w:color="auto"/>
      </w:divBdr>
      <w:divsChild>
        <w:div w:id="662707026">
          <w:marLeft w:val="1080"/>
          <w:marRight w:val="0"/>
          <w:marTop w:val="0"/>
          <w:marBottom w:val="0"/>
          <w:divBdr>
            <w:top w:val="none" w:sz="0" w:space="0" w:color="auto"/>
            <w:left w:val="none" w:sz="0" w:space="0" w:color="auto"/>
            <w:bottom w:val="none" w:sz="0" w:space="0" w:color="auto"/>
            <w:right w:val="none" w:sz="0" w:space="0" w:color="auto"/>
          </w:divBdr>
        </w:div>
        <w:div w:id="798690262">
          <w:marLeft w:val="1080"/>
          <w:marRight w:val="0"/>
          <w:marTop w:val="0"/>
          <w:marBottom w:val="0"/>
          <w:divBdr>
            <w:top w:val="none" w:sz="0" w:space="0" w:color="auto"/>
            <w:left w:val="none" w:sz="0" w:space="0" w:color="auto"/>
            <w:bottom w:val="none" w:sz="0" w:space="0" w:color="auto"/>
            <w:right w:val="none" w:sz="0" w:space="0" w:color="auto"/>
          </w:divBdr>
        </w:div>
        <w:div w:id="571044423">
          <w:marLeft w:val="1080"/>
          <w:marRight w:val="0"/>
          <w:marTop w:val="0"/>
          <w:marBottom w:val="0"/>
          <w:divBdr>
            <w:top w:val="none" w:sz="0" w:space="0" w:color="auto"/>
            <w:left w:val="none" w:sz="0" w:space="0" w:color="auto"/>
            <w:bottom w:val="none" w:sz="0" w:space="0" w:color="auto"/>
            <w:right w:val="none" w:sz="0" w:space="0" w:color="auto"/>
          </w:divBdr>
        </w:div>
        <w:div w:id="705448912">
          <w:marLeft w:val="1080"/>
          <w:marRight w:val="0"/>
          <w:marTop w:val="0"/>
          <w:marBottom w:val="0"/>
          <w:divBdr>
            <w:top w:val="none" w:sz="0" w:space="0" w:color="auto"/>
            <w:left w:val="none" w:sz="0" w:space="0" w:color="auto"/>
            <w:bottom w:val="none" w:sz="0" w:space="0" w:color="auto"/>
            <w:right w:val="none" w:sz="0" w:space="0" w:color="auto"/>
          </w:divBdr>
        </w:div>
        <w:div w:id="2054226793">
          <w:marLeft w:val="1080"/>
          <w:marRight w:val="0"/>
          <w:marTop w:val="0"/>
          <w:marBottom w:val="0"/>
          <w:divBdr>
            <w:top w:val="none" w:sz="0" w:space="0" w:color="auto"/>
            <w:left w:val="none" w:sz="0" w:space="0" w:color="auto"/>
            <w:bottom w:val="none" w:sz="0" w:space="0" w:color="auto"/>
            <w:right w:val="none" w:sz="0" w:space="0" w:color="auto"/>
          </w:divBdr>
        </w:div>
        <w:div w:id="1569416571">
          <w:marLeft w:val="1080"/>
          <w:marRight w:val="0"/>
          <w:marTop w:val="0"/>
          <w:marBottom w:val="0"/>
          <w:divBdr>
            <w:top w:val="none" w:sz="0" w:space="0" w:color="auto"/>
            <w:left w:val="none" w:sz="0" w:space="0" w:color="auto"/>
            <w:bottom w:val="none" w:sz="0" w:space="0" w:color="auto"/>
            <w:right w:val="none" w:sz="0" w:space="0" w:color="auto"/>
          </w:divBdr>
        </w:div>
        <w:div w:id="1313100064">
          <w:marLeft w:val="1080"/>
          <w:marRight w:val="0"/>
          <w:marTop w:val="0"/>
          <w:marBottom w:val="0"/>
          <w:divBdr>
            <w:top w:val="none" w:sz="0" w:space="0" w:color="auto"/>
            <w:left w:val="none" w:sz="0" w:space="0" w:color="auto"/>
            <w:bottom w:val="none" w:sz="0" w:space="0" w:color="auto"/>
            <w:right w:val="none" w:sz="0" w:space="0" w:color="auto"/>
          </w:divBdr>
        </w:div>
        <w:div w:id="1567915007">
          <w:marLeft w:val="1440"/>
          <w:marRight w:val="0"/>
          <w:marTop w:val="0"/>
          <w:marBottom w:val="0"/>
          <w:divBdr>
            <w:top w:val="none" w:sz="0" w:space="0" w:color="auto"/>
            <w:left w:val="none" w:sz="0" w:space="0" w:color="auto"/>
            <w:bottom w:val="none" w:sz="0" w:space="0" w:color="auto"/>
            <w:right w:val="none" w:sz="0" w:space="0" w:color="auto"/>
          </w:divBdr>
        </w:div>
        <w:div w:id="349918683">
          <w:marLeft w:val="1800"/>
          <w:marRight w:val="0"/>
          <w:marTop w:val="0"/>
          <w:marBottom w:val="0"/>
          <w:divBdr>
            <w:top w:val="none" w:sz="0" w:space="0" w:color="auto"/>
            <w:left w:val="none" w:sz="0" w:space="0" w:color="auto"/>
            <w:bottom w:val="none" w:sz="0" w:space="0" w:color="auto"/>
            <w:right w:val="none" w:sz="0" w:space="0" w:color="auto"/>
          </w:divBdr>
        </w:div>
        <w:div w:id="1220674602">
          <w:marLeft w:val="1800"/>
          <w:marRight w:val="0"/>
          <w:marTop w:val="0"/>
          <w:marBottom w:val="0"/>
          <w:divBdr>
            <w:top w:val="none" w:sz="0" w:space="0" w:color="auto"/>
            <w:left w:val="none" w:sz="0" w:space="0" w:color="auto"/>
            <w:bottom w:val="none" w:sz="0" w:space="0" w:color="auto"/>
            <w:right w:val="none" w:sz="0" w:space="0" w:color="auto"/>
          </w:divBdr>
        </w:div>
        <w:div w:id="1242104794">
          <w:marLeft w:val="1800"/>
          <w:marRight w:val="0"/>
          <w:marTop w:val="0"/>
          <w:marBottom w:val="0"/>
          <w:divBdr>
            <w:top w:val="none" w:sz="0" w:space="0" w:color="auto"/>
            <w:left w:val="none" w:sz="0" w:space="0" w:color="auto"/>
            <w:bottom w:val="none" w:sz="0" w:space="0" w:color="auto"/>
            <w:right w:val="none" w:sz="0" w:space="0" w:color="auto"/>
          </w:divBdr>
        </w:div>
        <w:div w:id="1040474986">
          <w:marLeft w:val="1080"/>
          <w:marRight w:val="0"/>
          <w:marTop w:val="0"/>
          <w:marBottom w:val="0"/>
          <w:divBdr>
            <w:top w:val="none" w:sz="0" w:space="0" w:color="auto"/>
            <w:left w:val="none" w:sz="0" w:space="0" w:color="auto"/>
            <w:bottom w:val="none" w:sz="0" w:space="0" w:color="auto"/>
            <w:right w:val="none" w:sz="0" w:space="0" w:color="auto"/>
          </w:divBdr>
        </w:div>
        <w:div w:id="1942490248">
          <w:marLeft w:val="1440"/>
          <w:marRight w:val="0"/>
          <w:marTop w:val="0"/>
          <w:marBottom w:val="0"/>
          <w:divBdr>
            <w:top w:val="none" w:sz="0" w:space="0" w:color="auto"/>
            <w:left w:val="none" w:sz="0" w:space="0" w:color="auto"/>
            <w:bottom w:val="none" w:sz="0" w:space="0" w:color="auto"/>
            <w:right w:val="none" w:sz="0" w:space="0" w:color="auto"/>
          </w:divBdr>
        </w:div>
        <w:div w:id="1142504577">
          <w:marLeft w:val="1782"/>
          <w:marRight w:val="0"/>
          <w:marTop w:val="0"/>
          <w:marBottom w:val="0"/>
          <w:divBdr>
            <w:top w:val="none" w:sz="0" w:space="0" w:color="auto"/>
            <w:left w:val="none" w:sz="0" w:space="0" w:color="auto"/>
            <w:bottom w:val="none" w:sz="0" w:space="0" w:color="auto"/>
            <w:right w:val="none" w:sz="0" w:space="0" w:color="auto"/>
          </w:divBdr>
        </w:div>
        <w:div w:id="789085891">
          <w:marLeft w:val="1782"/>
          <w:marRight w:val="0"/>
          <w:marTop w:val="0"/>
          <w:marBottom w:val="0"/>
          <w:divBdr>
            <w:top w:val="none" w:sz="0" w:space="0" w:color="auto"/>
            <w:left w:val="none" w:sz="0" w:space="0" w:color="auto"/>
            <w:bottom w:val="none" w:sz="0" w:space="0" w:color="auto"/>
            <w:right w:val="none" w:sz="0" w:space="0" w:color="auto"/>
          </w:divBdr>
        </w:div>
        <w:div w:id="823353748">
          <w:marLeft w:val="1782"/>
          <w:marRight w:val="0"/>
          <w:marTop w:val="0"/>
          <w:marBottom w:val="0"/>
          <w:divBdr>
            <w:top w:val="none" w:sz="0" w:space="0" w:color="auto"/>
            <w:left w:val="none" w:sz="0" w:space="0" w:color="auto"/>
            <w:bottom w:val="none" w:sz="0" w:space="0" w:color="auto"/>
            <w:right w:val="none" w:sz="0" w:space="0" w:color="auto"/>
          </w:divBdr>
        </w:div>
        <w:div w:id="170410373">
          <w:marLeft w:val="2142"/>
          <w:marRight w:val="0"/>
          <w:marTop w:val="0"/>
          <w:marBottom w:val="0"/>
          <w:divBdr>
            <w:top w:val="none" w:sz="0" w:space="0" w:color="auto"/>
            <w:left w:val="none" w:sz="0" w:space="0" w:color="auto"/>
            <w:bottom w:val="none" w:sz="0" w:space="0" w:color="auto"/>
            <w:right w:val="none" w:sz="0" w:space="0" w:color="auto"/>
          </w:divBdr>
        </w:div>
        <w:div w:id="411973199">
          <w:marLeft w:val="2142"/>
          <w:marRight w:val="0"/>
          <w:marTop w:val="0"/>
          <w:marBottom w:val="0"/>
          <w:divBdr>
            <w:top w:val="none" w:sz="0" w:space="0" w:color="auto"/>
            <w:left w:val="none" w:sz="0" w:space="0" w:color="auto"/>
            <w:bottom w:val="none" w:sz="0" w:space="0" w:color="auto"/>
            <w:right w:val="none" w:sz="0" w:space="0" w:color="auto"/>
          </w:divBdr>
        </w:div>
        <w:div w:id="336537311">
          <w:marLeft w:val="1080"/>
          <w:marRight w:val="0"/>
          <w:marTop w:val="0"/>
          <w:marBottom w:val="0"/>
          <w:divBdr>
            <w:top w:val="none" w:sz="0" w:space="0" w:color="auto"/>
            <w:left w:val="none" w:sz="0" w:space="0" w:color="auto"/>
            <w:bottom w:val="none" w:sz="0" w:space="0" w:color="auto"/>
            <w:right w:val="none" w:sz="0" w:space="0" w:color="auto"/>
          </w:divBdr>
        </w:div>
        <w:div w:id="1306282171">
          <w:marLeft w:val="1782"/>
          <w:marRight w:val="0"/>
          <w:marTop w:val="0"/>
          <w:marBottom w:val="0"/>
          <w:divBdr>
            <w:top w:val="none" w:sz="0" w:space="0" w:color="auto"/>
            <w:left w:val="none" w:sz="0" w:space="0" w:color="auto"/>
            <w:bottom w:val="none" w:sz="0" w:space="0" w:color="auto"/>
            <w:right w:val="none" w:sz="0" w:space="0" w:color="auto"/>
          </w:divBdr>
        </w:div>
        <w:div w:id="1150365035">
          <w:marLeft w:val="2142"/>
          <w:marRight w:val="0"/>
          <w:marTop w:val="0"/>
          <w:marBottom w:val="0"/>
          <w:divBdr>
            <w:top w:val="none" w:sz="0" w:space="0" w:color="auto"/>
            <w:left w:val="none" w:sz="0" w:space="0" w:color="auto"/>
            <w:bottom w:val="none" w:sz="0" w:space="0" w:color="auto"/>
            <w:right w:val="none" w:sz="0" w:space="0" w:color="auto"/>
          </w:divBdr>
        </w:div>
        <w:div w:id="2084714998">
          <w:marLeft w:val="2142"/>
          <w:marRight w:val="0"/>
          <w:marTop w:val="0"/>
          <w:marBottom w:val="0"/>
          <w:divBdr>
            <w:top w:val="none" w:sz="0" w:space="0" w:color="auto"/>
            <w:left w:val="none" w:sz="0" w:space="0" w:color="auto"/>
            <w:bottom w:val="none" w:sz="0" w:space="0" w:color="auto"/>
            <w:right w:val="none" w:sz="0" w:space="0" w:color="auto"/>
          </w:divBdr>
        </w:div>
        <w:div w:id="469514658">
          <w:marLeft w:val="1080"/>
          <w:marRight w:val="0"/>
          <w:marTop w:val="0"/>
          <w:marBottom w:val="0"/>
          <w:divBdr>
            <w:top w:val="none" w:sz="0" w:space="0" w:color="auto"/>
            <w:left w:val="none" w:sz="0" w:space="0" w:color="auto"/>
            <w:bottom w:val="none" w:sz="0" w:space="0" w:color="auto"/>
            <w:right w:val="none" w:sz="0" w:space="0" w:color="auto"/>
          </w:divBdr>
        </w:div>
        <w:div w:id="666402032">
          <w:marLeft w:val="1440"/>
          <w:marRight w:val="0"/>
          <w:marTop w:val="0"/>
          <w:marBottom w:val="0"/>
          <w:divBdr>
            <w:top w:val="none" w:sz="0" w:space="0" w:color="auto"/>
            <w:left w:val="none" w:sz="0" w:space="0" w:color="auto"/>
            <w:bottom w:val="none" w:sz="0" w:space="0" w:color="auto"/>
            <w:right w:val="none" w:sz="0" w:space="0" w:color="auto"/>
          </w:divBdr>
        </w:div>
        <w:div w:id="881475439">
          <w:marLeft w:val="1440"/>
          <w:marRight w:val="0"/>
          <w:marTop w:val="0"/>
          <w:marBottom w:val="0"/>
          <w:divBdr>
            <w:top w:val="none" w:sz="0" w:space="0" w:color="auto"/>
            <w:left w:val="none" w:sz="0" w:space="0" w:color="auto"/>
            <w:bottom w:val="none" w:sz="0" w:space="0" w:color="auto"/>
            <w:right w:val="none" w:sz="0" w:space="0" w:color="auto"/>
          </w:divBdr>
        </w:div>
        <w:div w:id="436869148">
          <w:marLeft w:val="1080"/>
          <w:marRight w:val="0"/>
          <w:marTop w:val="0"/>
          <w:marBottom w:val="0"/>
          <w:divBdr>
            <w:top w:val="none" w:sz="0" w:space="0" w:color="auto"/>
            <w:left w:val="none" w:sz="0" w:space="0" w:color="auto"/>
            <w:bottom w:val="none" w:sz="0" w:space="0" w:color="auto"/>
            <w:right w:val="none" w:sz="0" w:space="0" w:color="auto"/>
          </w:divBdr>
        </w:div>
        <w:div w:id="1937866441">
          <w:marLeft w:val="1440"/>
          <w:marRight w:val="0"/>
          <w:marTop w:val="0"/>
          <w:marBottom w:val="0"/>
          <w:divBdr>
            <w:top w:val="none" w:sz="0" w:space="0" w:color="auto"/>
            <w:left w:val="none" w:sz="0" w:space="0" w:color="auto"/>
            <w:bottom w:val="none" w:sz="0" w:space="0" w:color="auto"/>
            <w:right w:val="none" w:sz="0" w:space="0" w:color="auto"/>
          </w:divBdr>
        </w:div>
        <w:div w:id="77795873">
          <w:marLeft w:val="1800"/>
          <w:marRight w:val="0"/>
          <w:marTop w:val="0"/>
          <w:marBottom w:val="0"/>
          <w:divBdr>
            <w:top w:val="none" w:sz="0" w:space="0" w:color="auto"/>
            <w:left w:val="none" w:sz="0" w:space="0" w:color="auto"/>
            <w:bottom w:val="none" w:sz="0" w:space="0" w:color="auto"/>
            <w:right w:val="none" w:sz="0" w:space="0" w:color="auto"/>
          </w:divBdr>
        </w:div>
        <w:div w:id="2013334966">
          <w:marLeft w:val="2160"/>
          <w:marRight w:val="0"/>
          <w:marTop w:val="0"/>
          <w:marBottom w:val="0"/>
          <w:divBdr>
            <w:top w:val="none" w:sz="0" w:space="0" w:color="auto"/>
            <w:left w:val="none" w:sz="0" w:space="0" w:color="auto"/>
            <w:bottom w:val="none" w:sz="0" w:space="0" w:color="auto"/>
            <w:right w:val="none" w:sz="0" w:space="0" w:color="auto"/>
          </w:divBdr>
        </w:div>
        <w:div w:id="225192959">
          <w:marLeft w:val="2160"/>
          <w:marRight w:val="0"/>
          <w:marTop w:val="0"/>
          <w:marBottom w:val="0"/>
          <w:divBdr>
            <w:top w:val="none" w:sz="0" w:space="0" w:color="auto"/>
            <w:left w:val="none" w:sz="0" w:space="0" w:color="auto"/>
            <w:bottom w:val="none" w:sz="0" w:space="0" w:color="auto"/>
            <w:right w:val="none" w:sz="0" w:space="0" w:color="auto"/>
          </w:divBdr>
        </w:div>
        <w:div w:id="1700010305">
          <w:marLeft w:val="1800"/>
          <w:marRight w:val="0"/>
          <w:marTop w:val="0"/>
          <w:marBottom w:val="0"/>
          <w:divBdr>
            <w:top w:val="none" w:sz="0" w:space="0" w:color="auto"/>
            <w:left w:val="none" w:sz="0" w:space="0" w:color="auto"/>
            <w:bottom w:val="none" w:sz="0" w:space="0" w:color="auto"/>
            <w:right w:val="none" w:sz="0" w:space="0" w:color="auto"/>
          </w:divBdr>
        </w:div>
        <w:div w:id="1902128366">
          <w:marLeft w:val="2160"/>
          <w:marRight w:val="0"/>
          <w:marTop w:val="0"/>
          <w:marBottom w:val="0"/>
          <w:divBdr>
            <w:top w:val="none" w:sz="0" w:space="0" w:color="auto"/>
            <w:left w:val="none" w:sz="0" w:space="0" w:color="auto"/>
            <w:bottom w:val="none" w:sz="0" w:space="0" w:color="auto"/>
            <w:right w:val="none" w:sz="0" w:space="0" w:color="auto"/>
          </w:divBdr>
        </w:div>
        <w:div w:id="1026639794">
          <w:marLeft w:val="2160"/>
          <w:marRight w:val="0"/>
          <w:marTop w:val="0"/>
          <w:marBottom w:val="0"/>
          <w:divBdr>
            <w:top w:val="none" w:sz="0" w:space="0" w:color="auto"/>
            <w:left w:val="none" w:sz="0" w:space="0" w:color="auto"/>
            <w:bottom w:val="none" w:sz="0" w:space="0" w:color="auto"/>
            <w:right w:val="none" w:sz="0" w:space="0" w:color="auto"/>
          </w:divBdr>
        </w:div>
        <w:div w:id="211767840">
          <w:marLeft w:val="1080"/>
          <w:marRight w:val="0"/>
          <w:marTop w:val="0"/>
          <w:marBottom w:val="0"/>
          <w:divBdr>
            <w:top w:val="none" w:sz="0" w:space="0" w:color="auto"/>
            <w:left w:val="none" w:sz="0" w:space="0" w:color="auto"/>
            <w:bottom w:val="none" w:sz="0" w:space="0" w:color="auto"/>
            <w:right w:val="none" w:sz="0" w:space="0" w:color="auto"/>
          </w:divBdr>
        </w:div>
        <w:div w:id="711459930">
          <w:marLeft w:val="1440"/>
          <w:marRight w:val="0"/>
          <w:marTop w:val="0"/>
          <w:marBottom w:val="0"/>
          <w:divBdr>
            <w:top w:val="none" w:sz="0" w:space="0" w:color="auto"/>
            <w:left w:val="none" w:sz="0" w:space="0" w:color="auto"/>
            <w:bottom w:val="none" w:sz="0" w:space="0" w:color="auto"/>
            <w:right w:val="none" w:sz="0" w:space="0" w:color="auto"/>
          </w:divBdr>
        </w:div>
        <w:div w:id="66535253">
          <w:marLeft w:val="1800"/>
          <w:marRight w:val="0"/>
          <w:marTop w:val="0"/>
          <w:marBottom w:val="0"/>
          <w:divBdr>
            <w:top w:val="none" w:sz="0" w:space="0" w:color="auto"/>
            <w:left w:val="none" w:sz="0" w:space="0" w:color="auto"/>
            <w:bottom w:val="none" w:sz="0" w:space="0" w:color="auto"/>
            <w:right w:val="none" w:sz="0" w:space="0" w:color="auto"/>
          </w:divBdr>
        </w:div>
        <w:div w:id="902330278">
          <w:marLeft w:val="1800"/>
          <w:marRight w:val="0"/>
          <w:marTop w:val="0"/>
          <w:marBottom w:val="0"/>
          <w:divBdr>
            <w:top w:val="none" w:sz="0" w:space="0" w:color="auto"/>
            <w:left w:val="none" w:sz="0" w:space="0" w:color="auto"/>
            <w:bottom w:val="none" w:sz="0" w:space="0" w:color="auto"/>
            <w:right w:val="none" w:sz="0" w:space="0" w:color="auto"/>
          </w:divBdr>
        </w:div>
        <w:div w:id="1010107955">
          <w:marLeft w:val="2160"/>
          <w:marRight w:val="0"/>
          <w:marTop w:val="0"/>
          <w:marBottom w:val="0"/>
          <w:divBdr>
            <w:top w:val="none" w:sz="0" w:space="0" w:color="auto"/>
            <w:left w:val="none" w:sz="0" w:space="0" w:color="auto"/>
            <w:bottom w:val="none" w:sz="0" w:space="0" w:color="auto"/>
            <w:right w:val="none" w:sz="0" w:space="0" w:color="auto"/>
          </w:divBdr>
        </w:div>
        <w:div w:id="1843083929">
          <w:marLeft w:val="2160"/>
          <w:marRight w:val="0"/>
          <w:marTop w:val="0"/>
          <w:marBottom w:val="0"/>
          <w:divBdr>
            <w:top w:val="none" w:sz="0" w:space="0" w:color="auto"/>
            <w:left w:val="none" w:sz="0" w:space="0" w:color="auto"/>
            <w:bottom w:val="none" w:sz="0" w:space="0" w:color="auto"/>
            <w:right w:val="none" w:sz="0" w:space="0" w:color="auto"/>
          </w:divBdr>
        </w:div>
        <w:div w:id="323364976">
          <w:marLeft w:val="1080"/>
          <w:marRight w:val="0"/>
          <w:marTop w:val="0"/>
          <w:marBottom w:val="0"/>
          <w:divBdr>
            <w:top w:val="none" w:sz="0" w:space="0" w:color="auto"/>
            <w:left w:val="none" w:sz="0" w:space="0" w:color="auto"/>
            <w:bottom w:val="none" w:sz="0" w:space="0" w:color="auto"/>
            <w:right w:val="none" w:sz="0" w:space="0" w:color="auto"/>
          </w:divBdr>
        </w:div>
        <w:div w:id="1997566524">
          <w:marLeft w:val="1800"/>
          <w:marRight w:val="0"/>
          <w:marTop w:val="0"/>
          <w:marBottom w:val="0"/>
          <w:divBdr>
            <w:top w:val="none" w:sz="0" w:space="0" w:color="auto"/>
            <w:left w:val="none" w:sz="0" w:space="0" w:color="auto"/>
            <w:bottom w:val="none" w:sz="0" w:space="0" w:color="auto"/>
            <w:right w:val="none" w:sz="0" w:space="0" w:color="auto"/>
          </w:divBdr>
        </w:div>
      </w:divsChild>
    </w:div>
    <w:div w:id="91247185">
      <w:bodyDiv w:val="1"/>
      <w:marLeft w:val="0"/>
      <w:marRight w:val="0"/>
      <w:marTop w:val="0"/>
      <w:marBottom w:val="0"/>
      <w:divBdr>
        <w:top w:val="none" w:sz="0" w:space="0" w:color="auto"/>
        <w:left w:val="none" w:sz="0" w:space="0" w:color="auto"/>
        <w:bottom w:val="none" w:sz="0" w:space="0" w:color="auto"/>
        <w:right w:val="none" w:sz="0" w:space="0" w:color="auto"/>
      </w:divBdr>
      <w:divsChild>
        <w:div w:id="613833432">
          <w:marLeft w:val="0"/>
          <w:marRight w:val="0"/>
          <w:marTop w:val="0"/>
          <w:marBottom w:val="0"/>
          <w:divBdr>
            <w:top w:val="none" w:sz="0" w:space="0" w:color="auto"/>
            <w:left w:val="none" w:sz="0" w:space="0" w:color="auto"/>
            <w:bottom w:val="none" w:sz="0" w:space="0" w:color="auto"/>
            <w:right w:val="none" w:sz="0" w:space="0" w:color="auto"/>
          </w:divBdr>
        </w:div>
        <w:div w:id="1476682656">
          <w:marLeft w:val="0"/>
          <w:marRight w:val="0"/>
          <w:marTop w:val="0"/>
          <w:marBottom w:val="0"/>
          <w:divBdr>
            <w:top w:val="none" w:sz="0" w:space="0" w:color="auto"/>
            <w:left w:val="none" w:sz="0" w:space="0" w:color="auto"/>
            <w:bottom w:val="none" w:sz="0" w:space="0" w:color="auto"/>
            <w:right w:val="none" w:sz="0" w:space="0" w:color="auto"/>
          </w:divBdr>
          <w:divsChild>
            <w:div w:id="1871532614">
              <w:marLeft w:val="0"/>
              <w:marRight w:val="0"/>
              <w:marTop w:val="0"/>
              <w:marBottom w:val="0"/>
              <w:divBdr>
                <w:top w:val="none" w:sz="0" w:space="0" w:color="auto"/>
                <w:left w:val="none" w:sz="0" w:space="0" w:color="auto"/>
                <w:bottom w:val="none" w:sz="0" w:space="0" w:color="auto"/>
                <w:right w:val="none" w:sz="0" w:space="0" w:color="auto"/>
              </w:divBdr>
              <w:divsChild>
                <w:div w:id="1867672169">
                  <w:marLeft w:val="0"/>
                  <w:marRight w:val="0"/>
                  <w:marTop w:val="0"/>
                  <w:marBottom w:val="0"/>
                  <w:divBdr>
                    <w:top w:val="none" w:sz="0" w:space="0" w:color="auto"/>
                    <w:left w:val="none" w:sz="0" w:space="0" w:color="auto"/>
                    <w:bottom w:val="none" w:sz="0" w:space="0" w:color="auto"/>
                    <w:right w:val="none" w:sz="0" w:space="0" w:color="auto"/>
                  </w:divBdr>
                  <w:divsChild>
                    <w:div w:id="9080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26400">
      <w:bodyDiv w:val="1"/>
      <w:marLeft w:val="0"/>
      <w:marRight w:val="0"/>
      <w:marTop w:val="0"/>
      <w:marBottom w:val="0"/>
      <w:divBdr>
        <w:top w:val="none" w:sz="0" w:space="0" w:color="auto"/>
        <w:left w:val="none" w:sz="0" w:space="0" w:color="auto"/>
        <w:bottom w:val="none" w:sz="0" w:space="0" w:color="auto"/>
        <w:right w:val="none" w:sz="0" w:space="0" w:color="auto"/>
      </w:divBdr>
    </w:div>
    <w:div w:id="195460905">
      <w:bodyDiv w:val="1"/>
      <w:marLeft w:val="0"/>
      <w:marRight w:val="0"/>
      <w:marTop w:val="0"/>
      <w:marBottom w:val="0"/>
      <w:divBdr>
        <w:top w:val="none" w:sz="0" w:space="0" w:color="auto"/>
        <w:left w:val="none" w:sz="0" w:space="0" w:color="auto"/>
        <w:bottom w:val="none" w:sz="0" w:space="0" w:color="auto"/>
        <w:right w:val="none" w:sz="0" w:space="0" w:color="auto"/>
      </w:divBdr>
    </w:div>
    <w:div w:id="206183004">
      <w:bodyDiv w:val="1"/>
      <w:marLeft w:val="0"/>
      <w:marRight w:val="0"/>
      <w:marTop w:val="0"/>
      <w:marBottom w:val="0"/>
      <w:divBdr>
        <w:top w:val="none" w:sz="0" w:space="0" w:color="auto"/>
        <w:left w:val="none" w:sz="0" w:space="0" w:color="auto"/>
        <w:bottom w:val="none" w:sz="0" w:space="0" w:color="auto"/>
        <w:right w:val="none" w:sz="0" w:space="0" w:color="auto"/>
      </w:divBdr>
      <w:divsChild>
        <w:div w:id="2007899839">
          <w:marLeft w:val="0"/>
          <w:marRight w:val="0"/>
          <w:marTop w:val="0"/>
          <w:marBottom w:val="0"/>
          <w:divBdr>
            <w:top w:val="none" w:sz="0" w:space="0" w:color="auto"/>
            <w:left w:val="none" w:sz="0" w:space="0" w:color="auto"/>
            <w:bottom w:val="none" w:sz="0" w:space="0" w:color="auto"/>
            <w:right w:val="none" w:sz="0" w:space="0" w:color="auto"/>
          </w:divBdr>
        </w:div>
        <w:div w:id="1543666987">
          <w:marLeft w:val="0"/>
          <w:marRight w:val="0"/>
          <w:marTop w:val="0"/>
          <w:marBottom w:val="0"/>
          <w:divBdr>
            <w:top w:val="none" w:sz="0" w:space="0" w:color="auto"/>
            <w:left w:val="none" w:sz="0" w:space="0" w:color="auto"/>
            <w:bottom w:val="none" w:sz="0" w:space="0" w:color="auto"/>
            <w:right w:val="none" w:sz="0" w:space="0" w:color="auto"/>
          </w:divBdr>
          <w:divsChild>
            <w:div w:id="2089157514">
              <w:marLeft w:val="0"/>
              <w:marRight w:val="0"/>
              <w:marTop w:val="0"/>
              <w:marBottom w:val="0"/>
              <w:divBdr>
                <w:top w:val="none" w:sz="0" w:space="0" w:color="auto"/>
                <w:left w:val="none" w:sz="0" w:space="0" w:color="auto"/>
                <w:bottom w:val="none" w:sz="0" w:space="0" w:color="auto"/>
                <w:right w:val="none" w:sz="0" w:space="0" w:color="auto"/>
              </w:divBdr>
              <w:divsChild>
                <w:div w:id="1618760539">
                  <w:marLeft w:val="0"/>
                  <w:marRight w:val="0"/>
                  <w:marTop w:val="0"/>
                  <w:marBottom w:val="0"/>
                  <w:divBdr>
                    <w:top w:val="none" w:sz="0" w:space="0" w:color="auto"/>
                    <w:left w:val="none" w:sz="0" w:space="0" w:color="auto"/>
                    <w:bottom w:val="none" w:sz="0" w:space="0" w:color="auto"/>
                    <w:right w:val="none" w:sz="0" w:space="0" w:color="auto"/>
                  </w:divBdr>
                  <w:divsChild>
                    <w:div w:id="23686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385163">
      <w:bodyDiv w:val="1"/>
      <w:marLeft w:val="0"/>
      <w:marRight w:val="0"/>
      <w:marTop w:val="0"/>
      <w:marBottom w:val="0"/>
      <w:divBdr>
        <w:top w:val="none" w:sz="0" w:space="0" w:color="auto"/>
        <w:left w:val="none" w:sz="0" w:space="0" w:color="auto"/>
        <w:bottom w:val="none" w:sz="0" w:space="0" w:color="auto"/>
        <w:right w:val="none" w:sz="0" w:space="0" w:color="auto"/>
      </w:divBdr>
      <w:divsChild>
        <w:div w:id="743260631">
          <w:marLeft w:val="0"/>
          <w:marRight w:val="0"/>
          <w:marTop w:val="0"/>
          <w:marBottom w:val="0"/>
          <w:divBdr>
            <w:top w:val="none" w:sz="0" w:space="0" w:color="auto"/>
            <w:left w:val="none" w:sz="0" w:space="0" w:color="auto"/>
            <w:bottom w:val="none" w:sz="0" w:space="0" w:color="auto"/>
            <w:right w:val="none" w:sz="0" w:space="0" w:color="auto"/>
          </w:divBdr>
        </w:div>
        <w:div w:id="1901020752">
          <w:marLeft w:val="0"/>
          <w:marRight w:val="0"/>
          <w:marTop w:val="0"/>
          <w:marBottom w:val="0"/>
          <w:divBdr>
            <w:top w:val="none" w:sz="0" w:space="0" w:color="auto"/>
            <w:left w:val="none" w:sz="0" w:space="0" w:color="auto"/>
            <w:bottom w:val="none" w:sz="0" w:space="0" w:color="auto"/>
            <w:right w:val="none" w:sz="0" w:space="0" w:color="auto"/>
          </w:divBdr>
          <w:divsChild>
            <w:div w:id="1050962314">
              <w:marLeft w:val="0"/>
              <w:marRight w:val="0"/>
              <w:marTop w:val="0"/>
              <w:marBottom w:val="0"/>
              <w:divBdr>
                <w:top w:val="none" w:sz="0" w:space="0" w:color="auto"/>
                <w:left w:val="none" w:sz="0" w:space="0" w:color="auto"/>
                <w:bottom w:val="none" w:sz="0" w:space="0" w:color="auto"/>
                <w:right w:val="none" w:sz="0" w:space="0" w:color="auto"/>
              </w:divBdr>
              <w:divsChild>
                <w:div w:id="1168713619">
                  <w:marLeft w:val="0"/>
                  <w:marRight w:val="0"/>
                  <w:marTop w:val="0"/>
                  <w:marBottom w:val="0"/>
                  <w:divBdr>
                    <w:top w:val="none" w:sz="0" w:space="0" w:color="auto"/>
                    <w:left w:val="none" w:sz="0" w:space="0" w:color="auto"/>
                    <w:bottom w:val="none" w:sz="0" w:space="0" w:color="auto"/>
                    <w:right w:val="none" w:sz="0" w:space="0" w:color="auto"/>
                  </w:divBdr>
                  <w:divsChild>
                    <w:div w:id="1030571846">
                      <w:marLeft w:val="0"/>
                      <w:marRight w:val="0"/>
                      <w:marTop w:val="0"/>
                      <w:marBottom w:val="0"/>
                      <w:divBdr>
                        <w:top w:val="none" w:sz="0" w:space="0" w:color="auto"/>
                        <w:left w:val="none" w:sz="0" w:space="0" w:color="auto"/>
                        <w:bottom w:val="none" w:sz="0" w:space="0" w:color="auto"/>
                        <w:right w:val="none" w:sz="0" w:space="0" w:color="auto"/>
                      </w:divBdr>
                      <w:divsChild>
                        <w:div w:id="715589499">
                          <w:marLeft w:val="0"/>
                          <w:marRight w:val="0"/>
                          <w:marTop w:val="0"/>
                          <w:marBottom w:val="0"/>
                          <w:divBdr>
                            <w:top w:val="none" w:sz="0" w:space="0" w:color="auto"/>
                            <w:left w:val="none" w:sz="0" w:space="0" w:color="auto"/>
                            <w:bottom w:val="none" w:sz="0" w:space="0" w:color="auto"/>
                            <w:right w:val="none" w:sz="0" w:space="0" w:color="auto"/>
                          </w:divBdr>
                        </w:div>
                        <w:div w:id="2091271201">
                          <w:marLeft w:val="0"/>
                          <w:marRight w:val="0"/>
                          <w:marTop w:val="0"/>
                          <w:marBottom w:val="0"/>
                          <w:divBdr>
                            <w:top w:val="none" w:sz="0" w:space="0" w:color="auto"/>
                            <w:left w:val="none" w:sz="0" w:space="0" w:color="auto"/>
                            <w:bottom w:val="none" w:sz="0" w:space="0" w:color="auto"/>
                            <w:right w:val="none" w:sz="0" w:space="0" w:color="auto"/>
                          </w:divBdr>
                        </w:div>
                        <w:div w:id="1004745309">
                          <w:marLeft w:val="0"/>
                          <w:marRight w:val="0"/>
                          <w:marTop w:val="0"/>
                          <w:marBottom w:val="0"/>
                          <w:divBdr>
                            <w:top w:val="none" w:sz="0" w:space="0" w:color="auto"/>
                            <w:left w:val="none" w:sz="0" w:space="0" w:color="auto"/>
                            <w:bottom w:val="none" w:sz="0" w:space="0" w:color="auto"/>
                            <w:right w:val="none" w:sz="0" w:space="0" w:color="auto"/>
                          </w:divBdr>
                        </w:div>
                        <w:div w:id="782043722">
                          <w:marLeft w:val="0"/>
                          <w:marRight w:val="0"/>
                          <w:marTop w:val="0"/>
                          <w:marBottom w:val="0"/>
                          <w:divBdr>
                            <w:top w:val="none" w:sz="0" w:space="0" w:color="auto"/>
                            <w:left w:val="none" w:sz="0" w:space="0" w:color="auto"/>
                            <w:bottom w:val="none" w:sz="0" w:space="0" w:color="auto"/>
                            <w:right w:val="none" w:sz="0" w:space="0" w:color="auto"/>
                          </w:divBdr>
                        </w:div>
                        <w:div w:id="1321078695">
                          <w:marLeft w:val="0"/>
                          <w:marRight w:val="0"/>
                          <w:marTop w:val="0"/>
                          <w:marBottom w:val="0"/>
                          <w:divBdr>
                            <w:top w:val="none" w:sz="0" w:space="0" w:color="auto"/>
                            <w:left w:val="none" w:sz="0" w:space="0" w:color="auto"/>
                            <w:bottom w:val="none" w:sz="0" w:space="0" w:color="auto"/>
                            <w:right w:val="none" w:sz="0" w:space="0" w:color="auto"/>
                          </w:divBdr>
                        </w:div>
                        <w:div w:id="386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054278">
      <w:bodyDiv w:val="1"/>
      <w:marLeft w:val="0"/>
      <w:marRight w:val="0"/>
      <w:marTop w:val="0"/>
      <w:marBottom w:val="0"/>
      <w:divBdr>
        <w:top w:val="none" w:sz="0" w:space="0" w:color="auto"/>
        <w:left w:val="none" w:sz="0" w:space="0" w:color="auto"/>
        <w:bottom w:val="none" w:sz="0" w:space="0" w:color="auto"/>
        <w:right w:val="none" w:sz="0" w:space="0" w:color="auto"/>
      </w:divBdr>
      <w:divsChild>
        <w:div w:id="1325208056">
          <w:marLeft w:val="0"/>
          <w:marRight w:val="0"/>
          <w:marTop w:val="0"/>
          <w:marBottom w:val="0"/>
          <w:divBdr>
            <w:top w:val="none" w:sz="0" w:space="0" w:color="auto"/>
            <w:left w:val="none" w:sz="0" w:space="0" w:color="auto"/>
            <w:bottom w:val="none" w:sz="0" w:space="0" w:color="auto"/>
            <w:right w:val="none" w:sz="0" w:space="0" w:color="auto"/>
          </w:divBdr>
          <w:divsChild>
            <w:div w:id="1946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57419">
      <w:bodyDiv w:val="1"/>
      <w:marLeft w:val="0"/>
      <w:marRight w:val="0"/>
      <w:marTop w:val="0"/>
      <w:marBottom w:val="0"/>
      <w:divBdr>
        <w:top w:val="none" w:sz="0" w:space="0" w:color="auto"/>
        <w:left w:val="none" w:sz="0" w:space="0" w:color="auto"/>
        <w:bottom w:val="none" w:sz="0" w:space="0" w:color="auto"/>
        <w:right w:val="none" w:sz="0" w:space="0" w:color="auto"/>
      </w:divBdr>
    </w:div>
    <w:div w:id="341201670">
      <w:bodyDiv w:val="1"/>
      <w:marLeft w:val="0"/>
      <w:marRight w:val="0"/>
      <w:marTop w:val="0"/>
      <w:marBottom w:val="0"/>
      <w:divBdr>
        <w:top w:val="none" w:sz="0" w:space="0" w:color="auto"/>
        <w:left w:val="none" w:sz="0" w:space="0" w:color="auto"/>
        <w:bottom w:val="none" w:sz="0" w:space="0" w:color="auto"/>
        <w:right w:val="none" w:sz="0" w:space="0" w:color="auto"/>
      </w:divBdr>
      <w:divsChild>
        <w:div w:id="1781800419">
          <w:marLeft w:val="0"/>
          <w:marRight w:val="0"/>
          <w:marTop w:val="0"/>
          <w:marBottom w:val="0"/>
          <w:divBdr>
            <w:top w:val="none" w:sz="0" w:space="0" w:color="auto"/>
            <w:left w:val="none" w:sz="0" w:space="0" w:color="auto"/>
            <w:bottom w:val="none" w:sz="0" w:space="0" w:color="auto"/>
            <w:right w:val="none" w:sz="0" w:space="0" w:color="auto"/>
          </w:divBdr>
        </w:div>
        <w:div w:id="1401636032">
          <w:marLeft w:val="0"/>
          <w:marRight w:val="0"/>
          <w:marTop w:val="0"/>
          <w:marBottom w:val="0"/>
          <w:divBdr>
            <w:top w:val="none" w:sz="0" w:space="0" w:color="auto"/>
            <w:left w:val="none" w:sz="0" w:space="0" w:color="auto"/>
            <w:bottom w:val="none" w:sz="0" w:space="0" w:color="auto"/>
            <w:right w:val="none" w:sz="0" w:space="0" w:color="auto"/>
          </w:divBdr>
          <w:divsChild>
            <w:div w:id="2120760967">
              <w:marLeft w:val="0"/>
              <w:marRight w:val="0"/>
              <w:marTop w:val="0"/>
              <w:marBottom w:val="0"/>
              <w:divBdr>
                <w:top w:val="none" w:sz="0" w:space="0" w:color="auto"/>
                <w:left w:val="none" w:sz="0" w:space="0" w:color="auto"/>
                <w:bottom w:val="none" w:sz="0" w:space="0" w:color="auto"/>
                <w:right w:val="none" w:sz="0" w:space="0" w:color="auto"/>
              </w:divBdr>
              <w:divsChild>
                <w:div w:id="1998652686">
                  <w:marLeft w:val="0"/>
                  <w:marRight w:val="0"/>
                  <w:marTop w:val="0"/>
                  <w:marBottom w:val="0"/>
                  <w:divBdr>
                    <w:top w:val="none" w:sz="0" w:space="0" w:color="auto"/>
                    <w:left w:val="none" w:sz="0" w:space="0" w:color="auto"/>
                    <w:bottom w:val="none" w:sz="0" w:space="0" w:color="auto"/>
                    <w:right w:val="none" w:sz="0" w:space="0" w:color="auto"/>
                  </w:divBdr>
                  <w:divsChild>
                    <w:div w:id="3658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21474">
      <w:bodyDiv w:val="1"/>
      <w:marLeft w:val="0"/>
      <w:marRight w:val="0"/>
      <w:marTop w:val="0"/>
      <w:marBottom w:val="0"/>
      <w:divBdr>
        <w:top w:val="none" w:sz="0" w:space="0" w:color="auto"/>
        <w:left w:val="none" w:sz="0" w:space="0" w:color="auto"/>
        <w:bottom w:val="none" w:sz="0" w:space="0" w:color="auto"/>
        <w:right w:val="none" w:sz="0" w:space="0" w:color="auto"/>
      </w:divBdr>
      <w:divsChild>
        <w:div w:id="571504261">
          <w:marLeft w:val="0"/>
          <w:marRight w:val="0"/>
          <w:marTop w:val="0"/>
          <w:marBottom w:val="0"/>
          <w:divBdr>
            <w:top w:val="none" w:sz="0" w:space="0" w:color="auto"/>
            <w:left w:val="none" w:sz="0" w:space="0" w:color="auto"/>
            <w:bottom w:val="none" w:sz="0" w:space="0" w:color="auto"/>
            <w:right w:val="none" w:sz="0" w:space="0" w:color="auto"/>
          </w:divBdr>
        </w:div>
        <w:div w:id="1376924839">
          <w:marLeft w:val="0"/>
          <w:marRight w:val="0"/>
          <w:marTop w:val="0"/>
          <w:marBottom w:val="0"/>
          <w:divBdr>
            <w:top w:val="none" w:sz="0" w:space="0" w:color="auto"/>
            <w:left w:val="none" w:sz="0" w:space="0" w:color="auto"/>
            <w:bottom w:val="none" w:sz="0" w:space="0" w:color="auto"/>
            <w:right w:val="none" w:sz="0" w:space="0" w:color="auto"/>
          </w:divBdr>
          <w:divsChild>
            <w:div w:id="1736077622">
              <w:marLeft w:val="0"/>
              <w:marRight w:val="0"/>
              <w:marTop w:val="0"/>
              <w:marBottom w:val="0"/>
              <w:divBdr>
                <w:top w:val="none" w:sz="0" w:space="0" w:color="auto"/>
                <w:left w:val="none" w:sz="0" w:space="0" w:color="auto"/>
                <w:bottom w:val="none" w:sz="0" w:space="0" w:color="auto"/>
                <w:right w:val="none" w:sz="0" w:space="0" w:color="auto"/>
              </w:divBdr>
              <w:divsChild>
                <w:div w:id="723333189">
                  <w:marLeft w:val="0"/>
                  <w:marRight w:val="0"/>
                  <w:marTop w:val="0"/>
                  <w:marBottom w:val="0"/>
                  <w:divBdr>
                    <w:top w:val="none" w:sz="0" w:space="0" w:color="auto"/>
                    <w:left w:val="none" w:sz="0" w:space="0" w:color="auto"/>
                    <w:bottom w:val="none" w:sz="0" w:space="0" w:color="auto"/>
                    <w:right w:val="none" w:sz="0" w:space="0" w:color="auto"/>
                  </w:divBdr>
                  <w:divsChild>
                    <w:div w:id="1102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632090">
      <w:bodyDiv w:val="1"/>
      <w:marLeft w:val="0"/>
      <w:marRight w:val="0"/>
      <w:marTop w:val="0"/>
      <w:marBottom w:val="0"/>
      <w:divBdr>
        <w:top w:val="none" w:sz="0" w:space="0" w:color="auto"/>
        <w:left w:val="none" w:sz="0" w:space="0" w:color="auto"/>
        <w:bottom w:val="none" w:sz="0" w:space="0" w:color="auto"/>
        <w:right w:val="none" w:sz="0" w:space="0" w:color="auto"/>
      </w:divBdr>
    </w:div>
    <w:div w:id="451555744">
      <w:bodyDiv w:val="1"/>
      <w:marLeft w:val="0"/>
      <w:marRight w:val="0"/>
      <w:marTop w:val="0"/>
      <w:marBottom w:val="0"/>
      <w:divBdr>
        <w:top w:val="none" w:sz="0" w:space="0" w:color="auto"/>
        <w:left w:val="none" w:sz="0" w:space="0" w:color="auto"/>
        <w:bottom w:val="none" w:sz="0" w:space="0" w:color="auto"/>
        <w:right w:val="none" w:sz="0" w:space="0" w:color="auto"/>
      </w:divBdr>
      <w:divsChild>
        <w:div w:id="2046252442">
          <w:marLeft w:val="284"/>
          <w:marRight w:val="0"/>
          <w:marTop w:val="0"/>
          <w:marBottom w:val="0"/>
          <w:divBdr>
            <w:top w:val="none" w:sz="0" w:space="0" w:color="auto"/>
            <w:left w:val="none" w:sz="0" w:space="0" w:color="auto"/>
            <w:bottom w:val="none" w:sz="0" w:space="0" w:color="auto"/>
            <w:right w:val="none" w:sz="0" w:space="0" w:color="auto"/>
          </w:divBdr>
        </w:div>
        <w:div w:id="510919298">
          <w:marLeft w:val="284"/>
          <w:marRight w:val="0"/>
          <w:marTop w:val="0"/>
          <w:marBottom w:val="0"/>
          <w:divBdr>
            <w:top w:val="none" w:sz="0" w:space="0" w:color="auto"/>
            <w:left w:val="none" w:sz="0" w:space="0" w:color="auto"/>
            <w:bottom w:val="none" w:sz="0" w:space="0" w:color="auto"/>
            <w:right w:val="none" w:sz="0" w:space="0" w:color="auto"/>
          </w:divBdr>
        </w:div>
        <w:div w:id="893276845">
          <w:marLeft w:val="284"/>
          <w:marRight w:val="0"/>
          <w:marTop w:val="0"/>
          <w:marBottom w:val="0"/>
          <w:divBdr>
            <w:top w:val="none" w:sz="0" w:space="0" w:color="auto"/>
            <w:left w:val="none" w:sz="0" w:space="0" w:color="auto"/>
            <w:bottom w:val="none" w:sz="0" w:space="0" w:color="auto"/>
            <w:right w:val="none" w:sz="0" w:space="0" w:color="auto"/>
          </w:divBdr>
        </w:div>
        <w:div w:id="1368994602">
          <w:marLeft w:val="1004"/>
          <w:marRight w:val="0"/>
          <w:marTop w:val="0"/>
          <w:marBottom w:val="0"/>
          <w:divBdr>
            <w:top w:val="none" w:sz="0" w:space="0" w:color="auto"/>
            <w:left w:val="none" w:sz="0" w:space="0" w:color="auto"/>
            <w:bottom w:val="none" w:sz="0" w:space="0" w:color="auto"/>
            <w:right w:val="none" w:sz="0" w:space="0" w:color="auto"/>
          </w:divBdr>
        </w:div>
        <w:div w:id="1750925604">
          <w:marLeft w:val="1004"/>
          <w:marRight w:val="0"/>
          <w:marTop w:val="0"/>
          <w:marBottom w:val="0"/>
          <w:divBdr>
            <w:top w:val="none" w:sz="0" w:space="0" w:color="auto"/>
            <w:left w:val="none" w:sz="0" w:space="0" w:color="auto"/>
            <w:bottom w:val="none" w:sz="0" w:space="0" w:color="auto"/>
            <w:right w:val="none" w:sz="0" w:space="0" w:color="auto"/>
          </w:divBdr>
        </w:div>
        <w:div w:id="1250046438">
          <w:marLeft w:val="1004"/>
          <w:marRight w:val="0"/>
          <w:marTop w:val="0"/>
          <w:marBottom w:val="0"/>
          <w:divBdr>
            <w:top w:val="none" w:sz="0" w:space="0" w:color="auto"/>
            <w:left w:val="none" w:sz="0" w:space="0" w:color="auto"/>
            <w:bottom w:val="none" w:sz="0" w:space="0" w:color="auto"/>
            <w:right w:val="none" w:sz="0" w:space="0" w:color="auto"/>
          </w:divBdr>
        </w:div>
        <w:div w:id="1259754258">
          <w:marLeft w:val="1004"/>
          <w:marRight w:val="0"/>
          <w:marTop w:val="0"/>
          <w:marBottom w:val="0"/>
          <w:divBdr>
            <w:top w:val="none" w:sz="0" w:space="0" w:color="auto"/>
            <w:left w:val="none" w:sz="0" w:space="0" w:color="auto"/>
            <w:bottom w:val="none" w:sz="0" w:space="0" w:color="auto"/>
            <w:right w:val="none" w:sz="0" w:space="0" w:color="auto"/>
          </w:divBdr>
        </w:div>
        <w:div w:id="124197134">
          <w:marLeft w:val="1004"/>
          <w:marRight w:val="0"/>
          <w:marTop w:val="0"/>
          <w:marBottom w:val="0"/>
          <w:divBdr>
            <w:top w:val="none" w:sz="0" w:space="0" w:color="auto"/>
            <w:left w:val="none" w:sz="0" w:space="0" w:color="auto"/>
            <w:bottom w:val="none" w:sz="0" w:space="0" w:color="auto"/>
            <w:right w:val="none" w:sz="0" w:space="0" w:color="auto"/>
          </w:divBdr>
        </w:div>
        <w:div w:id="1264411568">
          <w:marLeft w:val="1004"/>
          <w:marRight w:val="0"/>
          <w:marTop w:val="0"/>
          <w:marBottom w:val="0"/>
          <w:divBdr>
            <w:top w:val="none" w:sz="0" w:space="0" w:color="auto"/>
            <w:left w:val="none" w:sz="0" w:space="0" w:color="auto"/>
            <w:bottom w:val="none" w:sz="0" w:space="0" w:color="auto"/>
            <w:right w:val="none" w:sz="0" w:space="0" w:color="auto"/>
          </w:divBdr>
        </w:div>
        <w:div w:id="11035286">
          <w:marLeft w:val="284"/>
          <w:marRight w:val="0"/>
          <w:marTop w:val="0"/>
          <w:marBottom w:val="0"/>
          <w:divBdr>
            <w:top w:val="none" w:sz="0" w:space="0" w:color="auto"/>
            <w:left w:val="none" w:sz="0" w:space="0" w:color="auto"/>
            <w:bottom w:val="none" w:sz="0" w:space="0" w:color="auto"/>
            <w:right w:val="none" w:sz="0" w:space="0" w:color="auto"/>
          </w:divBdr>
        </w:div>
        <w:div w:id="674041622">
          <w:marLeft w:val="284"/>
          <w:marRight w:val="0"/>
          <w:marTop w:val="0"/>
          <w:marBottom w:val="0"/>
          <w:divBdr>
            <w:top w:val="none" w:sz="0" w:space="0" w:color="auto"/>
            <w:left w:val="none" w:sz="0" w:space="0" w:color="auto"/>
            <w:bottom w:val="none" w:sz="0" w:space="0" w:color="auto"/>
            <w:right w:val="none" w:sz="0" w:space="0" w:color="auto"/>
          </w:divBdr>
        </w:div>
        <w:div w:id="1561669494">
          <w:marLeft w:val="284"/>
          <w:marRight w:val="0"/>
          <w:marTop w:val="0"/>
          <w:marBottom w:val="0"/>
          <w:divBdr>
            <w:top w:val="none" w:sz="0" w:space="0" w:color="auto"/>
            <w:left w:val="none" w:sz="0" w:space="0" w:color="auto"/>
            <w:bottom w:val="none" w:sz="0" w:space="0" w:color="auto"/>
            <w:right w:val="none" w:sz="0" w:space="0" w:color="auto"/>
          </w:divBdr>
        </w:div>
        <w:div w:id="1213735297">
          <w:marLeft w:val="284"/>
          <w:marRight w:val="0"/>
          <w:marTop w:val="0"/>
          <w:marBottom w:val="0"/>
          <w:divBdr>
            <w:top w:val="none" w:sz="0" w:space="0" w:color="auto"/>
            <w:left w:val="none" w:sz="0" w:space="0" w:color="auto"/>
            <w:bottom w:val="none" w:sz="0" w:space="0" w:color="auto"/>
            <w:right w:val="none" w:sz="0" w:space="0" w:color="auto"/>
          </w:divBdr>
        </w:div>
        <w:div w:id="1482193513">
          <w:marLeft w:val="284"/>
          <w:marRight w:val="0"/>
          <w:marTop w:val="0"/>
          <w:marBottom w:val="0"/>
          <w:divBdr>
            <w:top w:val="none" w:sz="0" w:space="0" w:color="auto"/>
            <w:left w:val="none" w:sz="0" w:space="0" w:color="auto"/>
            <w:bottom w:val="none" w:sz="0" w:space="0" w:color="auto"/>
            <w:right w:val="none" w:sz="0" w:space="0" w:color="auto"/>
          </w:divBdr>
        </w:div>
        <w:div w:id="747192163">
          <w:marLeft w:val="284"/>
          <w:marRight w:val="0"/>
          <w:marTop w:val="0"/>
          <w:marBottom w:val="0"/>
          <w:divBdr>
            <w:top w:val="none" w:sz="0" w:space="0" w:color="auto"/>
            <w:left w:val="none" w:sz="0" w:space="0" w:color="auto"/>
            <w:bottom w:val="none" w:sz="0" w:space="0" w:color="auto"/>
            <w:right w:val="none" w:sz="0" w:space="0" w:color="auto"/>
          </w:divBdr>
        </w:div>
        <w:div w:id="1439527982">
          <w:marLeft w:val="284"/>
          <w:marRight w:val="0"/>
          <w:marTop w:val="0"/>
          <w:marBottom w:val="0"/>
          <w:divBdr>
            <w:top w:val="none" w:sz="0" w:space="0" w:color="auto"/>
            <w:left w:val="none" w:sz="0" w:space="0" w:color="auto"/>
            <w:bottom w:val="none" w:sz="0" w:space="0" w:color="auto"/>
            <w:right w:val="none" w:sz="0" w:space="0" w:color="auto"/>
          </w:divBdr>
        </w:div>
        <w:div w:id="821386467">
          <w:marLeft w:val="1004"/>
          <w:marRight w:val="0"/>
          <w:marTop w:val="0"/>
          <w:marBottom w:val="0"/>
          <w:divBdr>
            <w:top w:val="none" w:sz="0" w:space="0" w:color="auto"/>
            <w:left w:val="none" w:sz="0" w:space="0" w:color="auto"/>
            <w:bottom w:val="none" w:sz="0" w:space="0" w:color="auto"/>
            <w:right w:val="none" w:sz="0" w:space="0" w:color="auto"/>
          </w:divBdr>
        </w:div>
        <w:div w:id="269437199">
          <w:marLeft w:val="1004"/>
          <w:marRight w:val="0"/>
          <w:marTop w:val="0"/>
          <w:marBottom w:val="0"/>
          <w:divBdr>
            <w:top w:val="none" w:sz="0" w:space="0" w:color="auto"/>
            <w:left w:val="none" w:sz="0" w:space="0" w:color="auto"/>
            <w:bottom w:val="none" w:sz="0" w:space="0" w:color="auto"/>
            <w:right w:val="none" w:sz="0" w:space="0" w:color="auto"/>
          </w:divBdr>
        </w:div>
        <w:div w:id="1460881833">
          <w:marLeft w:val="1004"/>
          <w:marRight w:val="0"/>
          <w:marTop w:val="0"/>
          <w:marBottom w:val="0"/>
          <w:divBdr>
            <w:top w:val="none" w:sz="0" w:space="0" w:color="auto"/>
            <w:left w:val="none" w:sz="0" w:space="0" w:color="auto"/>
            <w:bottom w:val="none" w:sz="0" w:space="0" w:color="auto"/>
            <w:right w:val="none" w:sz="0" w:space="0" w:color="auto"/>
          </w:divBdr>
        </w:div>
        <w:div w:id="155190932">
          <w:marLeft w:val="1004"/>
          <w:marRight w:val="0"/>
          <w:marTop w:val="0"/>
          <w:marBottom w:val="0"/>
          <w:divBdr>
            <w:top w:val="none" w:sz="0" w:space="0" w:color="auto"/>
            <w:left w:val="none" w:sz="0" w:space="0" w:color="auto"/>
            <w:bottom w:val="none" w:sz="0" w:space="0" w:color="auto"/>
            <w:right w:val="none" w:sz="0" w:space="0" w:color="auto"/>
          </w:divBdr>
        </w:div>
        <w:div w:id="1861235307">
          <w:marLeft w:val="1004"/>
          <w:marRight w:val="0"/>
          <w:marTop w:val="0"/>
          <w:marBottom w:val="0"/>
          <w:divBdr>
            <w:top w:val="none" w:sz="0" w:space="0" w:color="auto"/>
            <w:left w:val="none" w:sz="0" w:space="0" w:color="auto"/>
            <w:bottom w:val="none" w:sz="0" w:space="0" w:color="auto"/>
            <w:right w:val="none" w:sz="0" w:space="0" w:color="auto"/>
          </w:divBdr>
        </w:div>
        <w:div w:id="1418404910">
          <w:marLeft w:val="284"/>
          <w:marRight w:val="0"/>
          <w:marTop w:val="0"/>
          <w:marBottom w:val="0"/>
          <w:divBdr>
            <w:top w:val="none" w:sz="0" w:space="0" w:color="auto"/>
            <w:left w:val="none" w:sz="0" w:space="0" w:color="auto"/>
            <w:bottom w:val="none" w:sz="0" w:space="0" w:color="auto"/>
            <w:right w:val="none" w:sz="0" w:space="0" w:color="auto"/>
          </w:divBdr>
        </w:div>
        <w:div w:id="82344511">
          <w:marLeft w:val="284"/>
          <w:marRight w:val="0"/>
          <w:marTop w:val="0"/>
          <w:marBottom w:val="0"/>
          <w:divBdr>
            <w:top w:val="none" w:sz="0" w:space="0" w:color="auto"/>
            <w:left w:val="none" w:sz="0" w:space="0" w:color="auto"/>
            <w:bottom w:val="none" w:sz="0" w:space="0" w:color="auto"/>
            <w:right w:val="none" w:sz="0" w:space="0" w:color="auto"/>
          </w:divBdr>
        </w:div>
        <w:div w:id="1783308283">
          <w:marLeft w:val="1004"/>
          <w:marRight w:val="0"/>
          <w:marTop w:val="0"/>
          <w:marBottom w:val="0"/>
          <w:divBdr>
            <w:top w:val="none" w:sz="0" w:space="0" w:color="auto"/>
            <w:left w:val="none" w:sz="0" w:space="0" w:color="auto"/>
            <w:bottom w:val="none" w:sz="0" w:space="0" w:color="auto"/>
            <w:right w:val="none" w:sz="0" w:space="0" w:color="auto"/>
          </w:divBdr>
        </w:div>
        <w:div w:id="1684476575">
          <w:marLeft w:val="1004"/>
          <w:marRight w:val="0"/>
          <w:marTop w:val="0"/>
          <w:marBottom w:val="0"/>
          <w:divBdr>
            <w:top w:val="none" w:sz="0" w:space="0" w:color="auto"/>
            <w:left w:val="none" w:sz="0" w:space="0" w:color="auto"/>
            <w:bottom w:val="none" w:sz="0" w:space="0" w:color="auto"/>
            <w:right w:val="none" w:sz="0" w:space="0" w:color="auto"/>
          </w:divBdr>
        </w:div>
        <w:div w:id="2080976517">
          <w:marLeft w:val="1004"/>
          <w:marRight w:val="0"/>
          <w:marTop w:val="0"/>
          <w:marBottom w:val="0"/>
          <w:divBdr>
            <w:top w:val="none" w:sz="0" w:space="0" w:color="auto"/>
            <w:left w:val="none" w:sz="0" w:space="0" w:color="auto"/>
            <w:bottom w:val="none" w:sz="0" w:space="0" w:color="auto"/>
            <w:right w:val="none" w:sz="0" w:space="0" w:color="auto"/>
          </w:divBdr>
        </w:div>
        <w:div w:id="878515620">
          <w:marLeft w:val="1004"/>
          <w:marRight w:val="0"/>
          <w:marTop w:val="0"/>
          <w:marBottom w:val="0"/>
          <w:divBdr>
            <w:top w:val="none" w:sz="0" w:space="0" w:color="auto"/>
            <w:left w:val="none" w:sz="0" w:space="0" w:color="auto"/>
            <w:bottom w:val="none" w:sz="0" w:space="0" w:color="auto"/>
            <w:right w:val="none" w:sz="0" w:space="0" w:color="auto"/>
          </w:divBdr>
        </w:div>
        <w:div w:id="1172337334">
          <w:marLeft w:val="284"/>
          <w:marRight w:val="0"/>
          <w:marTop w:val="0"/>
          <w:marBottom w:val="0"/>
          <w:divBdr>
            <w:top w:val="none" w:sz="0" w:space="0" w:color="auto"/>
            <w:left w:val="none" w:sz="0" w:space="0" w:color="auto"/>
            <w:bottom w:val="none" w:sz="0" w:space="0" w:color="auto"/>
            <w:right w:val="none" w:sz="0" w:space="0" w:color="auto"/>
          </w:divBdr>
        </w:div>
        <w:div w:id="1599411600">
          <w:marLeft w:val="284"/>
          <w:marRight w:val="0"/>
          <w:marTop w:val="0"/>
          <w:marBottom w:val="0"/>
          <w:divBdr>
            <w:top w:val="none" w:sz="0" w:space="0" w:color="auto"/>
            <w:left w:val="none" w:sz="0" w:space="0" w:color="auto"/>
            <w:bottom w:val="none" w:sz="0" w:space="0" w:color="auto"/>
            <w:right w:val="none" w:sz="0" w:space="0" w:color="auto"/>
          </w:divBdr>
        </w:div>
        <w:div w:id="1114904023">
          <w:marLeft w:val="284"/>
          <w:marRight w:val="0"/>
          <w:marTop w:val="0"/>
          <w:marBottom w:val="0"/>
          <w:divBdr>
            <w:top w:val="none" w:sz="0" w:space="0" w:color="auto"/>
            <w:left w:val="none" w:sz="0" w:space="0" w:color="auto"/>
            <w:bottom w:val="none" w:sz="0" w:space="0" w:color="auto"/>
            <w:right w:val="none" w:sz="0" w:space="0" w:color="auto"/>
          </w:divBdr>
        </w:div>
        <w:div w:id="1870409661">
          <w:marLeft w:val="284"/>
          <w:marRight w:val="0"/>
          <w:marTop w:val="0"/>
          <w:marBottom w:val="0"/>
          <w:divBdr>
            <w:top w:val="none" w:sz="0" w:space="0" w:color="auto"/>
            <w:left w:val="none" w:sz="0" w:space="0" w:color="auto"/>
            <w:bottom w:val="none" w:sz="0" w:space="0" w:color="auto"/>
            <w:right w:val="none" w:sz="0" w:space="0" w:color="auto"/>
          </w:divBdr>
        </w:div>
        <w:div w:id="24715247">
          <w:marLeft w:val="284"/>
          <w:marRight w:val="0"/>
          <w:marTop w:val="0"/>
          <w:marBottom w:val="0"/>
          <w:divBdr>
            <w:top w:val="none" w:sz="0" w:space="0" w:color="auto"/>
            <w:left w:val="none" w:sz="0" w:space="0" w:color="auto"/>
            <w:bottom w:val="none" w:sz="0" w:space="0" w:color="auto"/>
            <w:right w:val="none" w:sz="0" w:space="0" w:color="auto"/>
          </w:divBdr>
        </w:div>
        <w:div w:id="482159539">
          <w:marLeft w:val="284"/>
          <w:marRight w:val="0"/>
          <w:marTop w:val="0"/>
          <w:marBottom w:val="0"/>
          <w:divBdr>
            <w:top w:val="none" w:sz="0" w:space="0" w:color="auto"/>
            <w:left w:val="none" w:sz="0" w:space="0" w:color="auto"/>
            <w:bottom w:val="none" w:sz="0" w:space="0" w:color="auto"/>
            <w:right w:val="none" w:sz="0" w:space="0" w:color="auto"/>
          </w:divBdr>
        </w:div>
        <w:div w:id="312564801">
          <w:marLeft w:val="284"/>
          <w:marRight w:val="0"/>
          <w:marTop w:val="0"/>
          <w:marBottom w:val="0"/>
          <w:divBdr>
            <w:top w:val="none" w:sz="0" w:space="0" w:color="auto"/>
            <w:left w:val="none" w:sz="0" w:space="0" w:color="auto"/>
            <w:bottom w:val="none" w:sz="0" w:space="0" w:color="auto"/>
            <w:right w:val="none" w:sz="0" w:space="0" w:color="auto"/>
          </w:divBdr>
        </w:div>
        <w:div w:id="1321886662">
          <w:marLeft w:val="284"/>
          <w:marRight w:val="0"/>
          <w:marTop w:val="0"/>
          <w:marBottom w:val="0"/>
          <w:divBdr>
            <w:top w:val="none" w:sz="0" w:space="0" w:color="auto"/>
            <w:left w:val="none" w:sz="0" w:space="0" w:color="auto"/>
            <w:bottom w:val="none" w:sz="0" w:space="0" w:color="auto"/>
            <w:right w:val="none" w:sz="0" w:space="0" w:color="auto"/>
          </w:divBdr>
        </w:div>
        <w:div w:id="1268805838">
          <w:marLeft w:val="284"/>
          <w:marRight w:val="0"/>
          <w:marTop w:val="0"/>
          <w:marBottom w:val="0"/>
          <w:divBdr>
            <w:top w:val="none" w:sz="0" w:space="0" w:color="auto"/>
            <w:left w:val="none" w:sz="0" w:space="0" w:color="auto"/>
            <w:bottom w:val="none" w:sz="0" w:space="0" w:color="auto"/>
            <w:right w:val="none" w:sz="0" w:space="0" w:color="auto"/>
          </w:divBdr>
        </w:div>
        <w:div w:id="653265037">
          <w:marLeft w:val="284"/>
          <w:marRight w:val="0"/>
          <w:marTop w:val="0"/>
          <w:marBottom w:val="0"/>
          <w:divBdr>
            <w:top w:val="none" w:sz="0" w:space="0" w:color="auto"/>
            <w:left w:val="none" w:sz="0" w:space="0" w:color="auto"/>
            <w:bottom w:val="none" w:sz="0" w:space="0" w:color="auto"/>
            <w:right w:val="none" w:sz="0" w:space="0" w:color="auto"/>
          </w:divBdr>
        </w:div>
        <w:div w:id="78257280">
          <w:marLeft w:val="284"/>
          <w:marRight w:val="0"/>
          <w:marTop w:val="0"/>
          <w:marBottom w:val="0"/>
          <w:divBdr>
            <w:top w:val="none" w:sz="0" w:space="0" w:color="auto"/>
            <w:left w:val="none" w:sz="0" w:space="0" w:color="auto"/>
            <w:bottom w:val="none" w:sz="0" w:space="0" w:color="auto"/>
            <w:right w:val="none" w:sz="0" w:space="0" w:color="auto"/>
          </w:divBdr>
        </w:div>
        <w:div w:id="1879469910">
          <w:marLeft w:val="0"/>
          <w:marRight w:val="0"/>
          <w:marTop w:val="0"/>
          <w:marBottom w:val="0"/>
          <w:divBdr>
            <w:top w:val="none" w:sz="0" w:space="0" w:color="auto"/>
            <w:left w:val="none" w:sz="0" w:space="0" w:color="auto"/>
            <w:bottom w:val="none" w:sz="0" w:space="0" w:color="auto"/>
            <w:right w:val="none" w:sz="0" w:space="0" w:color="auto"/>
          </w:divBdr>
        </w:div>
        <w:div w:id="1509977726">
          <w:marLeft w:val="0"/>
          <w:marRight w:val="0"/>
          <w:marTop w:val="0"/>
          <w:marBottom w:val="0"/>
          <w:divBdr>
            <w:top w:val="none" w:sz="0" w:space="0" w:color="auto"/>
            <w:left w:val="none" w:sz="0" w:space="0" w:color="auto"/>
            <w:bottom w:val="none" w:sz="0" w:space="0" w:color="auto"/>
            <w:right w:val="none" w:sz="0" w:space="0" w:color="auto"/>
          </w:divBdr>
        </w:div>
        <w:div w:id="174732511">
          <w:marLeft w:val="0"/>
          <w:marRight w:val="0"/>
          <w:marTop w:val="0"/>
          <w:marBottom w:val="0"/>
          <w:divBdr>
            <w:top w:val="none" w:sz="0" w:space="0" w:color="auto"/>
            <w:left w:val="none" w:sz="0" w:space="0" w:color="auto"/>
            <w:bottom w:val="none" w:sz="0" w:space="0" w:color="auto"/>
            <w:right w:val="none" w:sz="0" w:space="0" w:color="auto"/>
          </w:divBdr>
        </w:div>
        <w:div w:id="1935936251">
          <w:marLeft w:val="0"/>
          <w:marRight w:val="0"/>
          <w:marTop w:val="0"/>
          <w:marBottom w:val="0"/>
          <w:divBdr>
            <w:top w:val="none" w:sz="0" w:space="0" w:color="auto"/>
            <w:left w:val="none" w:sz="0" w:space="0" w:color="auto"/>
            <w:bottom w:val="none" w:sz="0" w:space="0" w:color="auto"/>
            <w:right w:val="none" w:sz="0" w:space="0" w:color="auto"/>
          </w:divBdr>
        </w:div>
        <w:div w:id="1227104425">
          <w:marLeft w:val="0"/>
          <w:marRight w:val="0"/>
          <w:marTop w:val="0"/>
          <w:marBottom w:val="0"/>
          <w:divBdr>
            <w:top w:val="none" w:sz="0" w:space="0" w:color="auto"/>
            <w:left w:val="none" w:sz="0" w:space="0" w:color="auto"/>
            <w:bottom w:val="none" w:sz="0" w:space="0" w:color="auto"/>
            <w:right w:val="none" w:sz="0" w:space="0" w:color="auto"/>
          </w:divBdr>
        </w:div>
        <w:div w:id="2119327866">
          <w:marLeft w:val="0"/>
          <w:marRight w:val="0"/>
          <w:marTop w:val="0"/>
          <w:marBottom w:val="0"/>
          <w:divBdr>
            <w:top w:val="none" w:sz="0" w:space="0" w:color="auto"/>
            <w:left w:val="none" w:sz="0" w:space="0" w:color="auto"/>
            <w:bottom w:val="none" w:sz="0" w:space="0" w:color="auto"/>
            <w:right w:val="none" w:sz="0" w:space="0" w:color="auto"/>
          </w:divBdr>
        </w:div>
        <w:div w:id="1199976650">
          <w:marLeft w:val="0"/>
          <w:marRight w:val="0"/>
          <w:marTop w:val="0"/>
          <w:marBottom w:val="0"/>
          <w:divBdr>
            <w:top w:val="none" w:sz="0" w:space="0" w:color="auto"/>
            <w:left w:val="none" w:sz="0" w:space="0" w:color="auto"/>
            <w:bottom w:val="none" w:sz="0" w:space="0" w:color="auto"/>
            <w:right w:val="none" w:sz="0" w:space="0" w:color="auto"/>
          </w:divBdr>
        </w:div>
        <w:div w:id="1476608877">
          <w:marLeft w:val="0"/>
          <w:marRight w:val="0"/>
          <w:marTop w:val="0"/>
          <w:marBottom w:val="0"/>
          <w:divBdr>
            <w:top w:val="none" w:sz="0" w:space="0" w:color="auto"/>
            <w:left w:val="none" w:sz="0" w:space="0" w:color="auto"/>
            <w:bottom w:val="none" w:sz="0" w:space="0" w:color="auto"/>
            <w:right w:val="none" w:sz="0" w:space="0" w:color="auto"/>
          </w:divBdr>
        </w:div>
        <w:div w:id="1153596781">
          <w:marLeft w:val="0"/>
          <w:marRight w:val="0"/>
          <w:marTop w:val="0"/>
          <w:marBottom w:val="0"/>
          <w:divBdr>
            <w:top w:val="none" w:sz="0" w:space="0" w:color="auto"/>
            <w:left w:val="none" w:sz="0" w:space="0" w:color="auto"/>
            <w:bottom w:val="none" w:sz="0" w:space="0" w:color="auto"/>
            <w:right w:val="none" w:sz="0" w:space="0" w:color="auto"/>
          </w:divBdr>
        </w:div>
        <w:div w:id="2047287014">
          <w:marLeft w:val="0"/>
          <w:marRight w:val="0"/>
          <w:marTop w:val="0"/>
          <w:marBottom w:val="0"/>
          <w:divBdr>
            <w:top w:val="none" w:sz="0" w:space="0" w:color="auto"/>
            <w:left w:val="none" w:sz="0" w:space="0" w:color="auto"/>
            <w:bottom w:val="none" w:sz="0" w:space="0" w:color="auto"/>
            <w:right w:val="none" w:sz="0" w:space="0" w:color="auto"/>
          </w:divBdr>
        </w:div>
        <w:div w:id="196428662">
          <w:marLeft w:val="284"/>
          <w:marRight w:val="0"/>
          <w:marTop w:val="0"/>
          <w:marBottom w:val="0"/>
          <w:divBdr>
            <w:top w:val="none" w:sz="0" w:space="0" w:color="auto"/>
            <w:left w:val="none" w:sz="0" w:space="0" w:color="auto"/>
            <w:bottom w:val="none" w:sz="0" w:space="0" w:color="auto"/>
            <w:right w:val="none" w:sz="0" w:space="0" w:color="auto"/>
          </w:divBdr>
        </w:div>
        <w:div w:id="367726124">
          <w:marLeft w:val="284"/>
          <w:marRight w:val="0"/>
          <w:marTop w:val="0"/>
          <w:marBottom w:val="0"/>
          <w:divBdr>
            <w:top w:val="none" w:sz="0" w:space="0" w:color="auto"/>
            <w:left w:val="none" w:sz="0" w:space="0" w:color="auto"/>
            <w:bottom w:val="none" w:sz="0" w:space="0" w:color="auto"/>
            <w:right w:val="none" w:sz="0" w:space="0" w:color="auto"/>
          </w:divBdr>
        </w:div>
        <w:div w:id="1024012778">
          <w:marLeft w:val="1004"/>
          <w:marRight w:val="0"/>
          <w:marTop w:val="0"/>
          <w:marBottom w:val="0"/>
          <w:divBdr>
            <w:top w:val="none" w:sz="0" w:space="0" w:color="auto"/>
            <w:left w:val="none" w:sz="0" w:space="0" w:color="auto"/>
            <w:bottom w:val="none" w:sz="0" w:space="0" w:color="auto"/>
            <w:right w:val="none" w:sz="0" w:space="0" w:color="auto"/>
          </w:divBdr>
        </w:div>
        <w:div w:id="1753551111">
          <w:marLeft w:val="1004"/>
          <w:marRight w:val="0"/>
          <w:marTop w:val="0"/>
          <w:marBottom w:val="0"/>
          <w:divBdr>
            <w:top w:val="none" w:sz="0" w:space="0" w:color="auto"/>
            <w:left w:val="none" w:sz="0" w:space="0" w:color="auto"/>
            <w:bottom w:val="none" w:sz="0" w:space="0" w:color="auto"/>
            <w:right w:val="none" w:sz="0" w:space="0" w:color="auto"/>
          </w:divBdr>
        </w:div>
        <w:div w:id="1411393433">
          <w:marLeft w:val="1004"/>
          <w:marRight w:val="0"/>
          <w:marTop w:val="0"/>
          <w:marBottom w:val="0"/>
          <w:divBdr>
            <w:top w:val="none" w:sz="0" w:space="0" w:color="auto"/>
            <w:left w:val="none" w:sz="0" w:space="0" w:color="auto"/>
            <w:bottom w:val="none" w:sz="0" w:space="0" w:color="auto"/>
            <w:right w:val="none" w:sz="0" w:space="0" w:color="auto"/>
          </w:divBdr>
        </w:div>
        <w:div w:id="941110178">
          <w:marLeft w:val="1004"/>
          <w:marRight w:val="0"/>
          <w:marTop w:val="0"/>
          <w:marBottom w:val="0"/>
          <w:divBdr>
            <w:top w:val="none" w:sz="0" w:space="0" w:color="auto"/>
            <w:left w:val="none" w:sz="0" w:space="0" w:color="auto"/>
            <w:bottom w:val="none" w:sz="0" w:space="0" w:color="auto"/>
            <w:right w:val="none" w:sz="0" w:space="0" w:color="auto"/>
          </w:divBdr>
        </w:div>
        <w:div w:id="1507480853">
          <w:marLeft w:val="284"/>
          <w:marRight w:val="0"/>
          <w:marTop w:val="0"/>
          <w:marBottom w:val="0"/>
          <w:divBdr>
            <w:top w:val="none" w:sz="0" w:space="0" w:color="auto"/>
            <w:left w:val="none" w:sz="0" w:space="0" w:color="auto"/>
            <w:bottom w:val="none" w:sz="0" w:space="0" w:color="auto"/>
            <w:right w:val="none" w:sz="0" w:space="0" w:color="auto"/>
          </w:divBdr>
        </w:div>
        <w:div w:id="497961155">
          <w:marLeft w:val="1004"/>
          <w:marRight w:val="0"/>
          <w:marTop w:val="0"/>
          <w:marBottom w:val="0"/>
          <w:divBdr>
            <w:top w:val="none" w:sz="0" w:space="0" w:color="auto"/>
            <w:left w:val="none" w:sz="0" w:space="0" w:color="auto"/>
            <w:bottom w:val="none" w:sz="0" w:space="0" w:color="auto"/>
            <w:right w:val="none" w:sz="0" w:space="0" w:color="auto"/>
          </w:divBdr>
        </w:div>
        <w:div w:id="1833791560">
          <w:marLeft w:val="1004"/>
          <w:marRight w:val="0"/>
          <w:marTop w:val="0"/>
          <w:marBottom w:val="0"/>
          <w:divBdr>
            <w:top w:val="none" w:sz="0" w:space="0" w:color="auto"/>
            <w:left w:val="none" w:sz="0" w:space="0" w:color="auto"/>
            <w:bottom w:val="none" w:sz="0" w:space="0" w:color="auto"/>
            <w:right w:val="none" w:sz="0" w:space="0" w:color="auto"/>
          </w:divBdr>
        </w:div>
        <w:div w:id="400299958">
          <w:marLeft w:val="1004"/>
          <w:marRight w:val="0"/>
          <w:marTop w:val="0"/>
          <w:marBottom w:val="0"/>
          <w:divBdr>
            <w:top w:val="none" w:sz="0" w:space="0" w:color="auto"/>
            <w:left w:val="none" w:sz="0" w:space="0" w:color="auto"/>
            <w:bottom w:val="none" w:sz="0" w:space="0" w:color="auto"/>
            <w:right w:val="none" w:sz="0" w:space="0" w:color="auto"/>
          </w:divBdr>
        </w:div>
        <w:div w:id="709913010">
          <w:marLeft w:val="1004"/>
          <w:marRight w:val="0"/>
          <w:marTop w:val="0"/>
          <w:marBottom w:val="0"/>
          <w:divBdr>
            <w:top w:val="none" w:sz="0" w:space="0" w:color="auto"/>
            <w:left w:val="none" w:sz="0" w:space="0" w:color="auto"/>
            <w:bottom w:val="none" w:sz="0" w:space="0" w:color="auto"/>
            <w:right w:val="none" w:sz="0" w:space="0" w:color="auto"/>
          </w:divBdr>
        </w:div>
        <w:div w:id="2024278405">
          <w:marLeft w:val="1004"/>
          <w:marRight w:val="0"/>
          <w:marTop w:val="0"/>
          <w:marBottom w:val="0"/>
          <w:divBdr>
            <w:top w:val="none" w:sz="0" w:space="0" w:color="auto"/>
            <w:left w:val="none" w:sz="0" w:space="0" w:color="auto"/>
            <w:bottom w:val="none" w:sz="0" w:space="0" w:color="auto"/>
            <w:right w:val="none" w:sz="0" w:space="0" w:color="auto"/>
          </w:divBdr>
        </w:div>
        <w:div w:id="1318533137">
          <w:marLeft w:val="284"/>
          <w:marRight w:val="0"/>
          <w:marTop w:val="0"/>
          <w:marBottom w:val="0"/>
          <w:divBdr>
            <w:top w:val="none" w:sz="0" w:space="0" w:color="auto"/>
            <w:left w:val="none" w:sz="0" w:space="0" w:color="auto"/>
            <w:bottom w:val="none" w:sz="0" w:space="0" w:color="auto"/>
            <w:right w:val="none" w:sz="0" w:space="0" w:color="auto"/>
          </w:divBdr>
        </w:div>
        <w:div w:id="83691114">
          <w:marLeft w:val="284"/>
          <w:marRight w:val="0"/>
          <w:marTop w:val="0"/>
          <w:marBottom w:val="0"/>
          <w:divBdr>
            <w:top w:val="none" w:sz="0" w:space="0" w:color="auto"/>
            <w:left w:val="none" w:sz="0" w:space="0" w:color="auto"/>
            <w:bottom w:val="none" w:sz="0" w:space="0" w:color="auto"/>
            <w:right w:val="none" w:sz="0" w:space="0" w:color="auto"/>
          </w:divBdr>
        </w:div>
        <w:div w:id="326517728">
          <w:marLeft w:val="284"/>
          <w:marRight w:val="0"/>
          <w:marTop w:val="0"/>
          <w:marBottom w:val="0"/>
          <w:divBdr>
            <w:top w:val="none" w:sz="0" w:space="0" w:color="auto"/>
            <w:left w:val="none" w:sz="0" w:space="0" w:color="auto"/>
            <w:bottom w:val="none" w:sz="0" w:space="0" w:color="auto"/>
            <w:right w:val="none" w:sz="0" w:space="0" w:color="auto"/>
          </w:divBdr>
        </w:div>
        <w:div w:id="1995797721">
          <w:marLeft w:val="284"/>
          <w:marRight w:val="0"/>
          <w:marTop w:val="0"/>
          <w:marBottom w:val="0"/>
          <w:divBdr>
            <w:top w:val="none" w:sz="0" w:space="0" w:color="auto"/>
            <w:left w:val="none" w:sz="0" w:space="0" w:color="auto"/>
            <w:bottom w:val="none" w:sz="0" w:space="0" w:color="auto"/>
            <w:right w:val="none" w:sz="0" w:space="0" w:color="auto"/>
          </w:divBdr>
        </w:div>
        <w:div w:id="1714692505">
          <w:marLeft w:val="709"/>
          <w:marRight w:val="0"/>
          <w:marTop w:val="0"/>
          <w:marBottom w:val="0"/>
          <w:divBdr>
            <w:top w:val="none" w:sz="0" w:space="0" w:color="auto"/>
            <w:left w:val="none" w:sz="0" w:space="0" w:color="auto"/>
            <w:bottom w:val="none" w:sz="0" w:space="0" w:color="auto"/>
            <w:right w:val="none" w:sz="0" w:space="0" w:color="auto"/>
          </w:divBdr>
        </w:div>
        <w:div w:id="2057973907">
          <w:marLeft w:val="709"/>
          <w:marRight w:val="0"/>
          <w:marTop w:val="0"/>
          <w:marBottom w:val="0"/>
          <w:divBdr>
            <w:top w:val="none" w:sz="0" w:space="0" w:color="auto"/>
            <w:left w:val="none" w:sz="0" w:space="0" w:color="auto"/>
            <w:bottom w:val="none" w:sz="0" w:space="0" w:color="auto"/>
            <w:right w:val="none" w:sz="0" w:space="0" w:color="auto"/>
          </w:divBdr>
        </w:div>
        <w:div w:id="157693330">
          <w:marLeft w:val="709"/>
          <w:marRight w:val="0"/>
          <w:marTop w:val="0"/>
          <w:marBottom w:val="0"/>
          <w:divBdr>
            <w:top w:val="none" w:sz="0" w:space="0" w:color="auto"/>
            <w:left w:val="none" w:sz="0" w:space="0" w:color="auto"/>
            <w:bottom w:val="none" w:sz="0" w:space="0" w:color="auto"/>
            <w:right w:val="none" w:sz="0" w:space="0" w:color="auto"/>
          </w:divBdr>
        </w:div>
        <w:div w:id="1288201388">
          <w:marLeft w:val="284"/>
          <w:marRight w:val="0"/>
          <w:marTop w:val="0"/>
          <w:marBottom w:val="0"/>
          <w:divBdr>
            <w:top w:val="none" w:sz="0" w:space="0" w:color="auto"/>
            <w:left w:val="none" w:sz="0" w:space="0" w:color="auto"/>
            <w:bottom w:val="none" w:sz="0" w:space="0" w:color="auto"/>
            <w:right w:val="none" w:sz="0" w:space="0" w:color="auto"/>
          </w:divBdr>
        </w:div>
        <w:div w:id="998970894">
          <w:marLeft w:val="709"/>
          <w:marRight w:val="0"/>
          <w:marTop w:val="0"/>
          <w:marBottom w:val="0"/>
          <w:divBdr>
            <w:top w:val="none" w:sz="0" w:space="0" w:color="auto"/>
            <w:left w:val="none" w:sz="0" w:space="0" w:color="auto"/>
            <w:bottom w:val="none" w:sz="0" w:space="0" w:color="auto"/>
            <w:right w:val="none" w:sz="0" w:space="0" w:color="auto"/>
          </w:divBdr>
        </w:div>
        <w:div w:id="541747908">
          <w:marLeft w:val="709"/>
          <w:marRight w:val="0"/>
          <w:marTop w:val="0"/>
          <w:marBottom w:val="0"/>
          <w:divBdr>
            <w:top w:val="none" w:sz="0" w:space="0" w:color="auto"/>
            <w:left w:val="none" w:sz="0" w:space="0" w:color="auto"/>
            <w:bottom w:val="none" w:sz="0" w:space="0" w:color="auto"/>
            <w:right w:val="none" w:sz="0" w:space="0" w:color="auto"/>
          </w:divBdr>
        </w:div>
        <w:div w:id="141966568">
          <w:marLeft w:val="709"/>
          <w:marRight w:val="0"/>
          <w:marTop w:val="0"/>
          <w:marBottom w:val="0"/>
          <w:divBdr>
            <w:top w:val="none" w:sz="0" w:space="0" w:color="auto"/>
            <w:left w:val="none" w:sz="0" w:space="0" w:color="auto"/>
            <w:bottom w:val="none" w:sz="0" w:space="0" w:color="auto"/>
            <w:right w:val="none" w:sz="0" w:space="0" w:color="auto"/>
          </w:divBdr>
        </w:div>
        <w:div w:id="651982739">
          <w:marLeft w:val="709"/>
          <w:marRight w:val="0"/>
          <w:marTop w:val="0"/>
          <w:marBottom w:val="0"/>
          <w:divBdr>
            <w:top w:val="none" w:sz="0" w:space="0" w:color="auto"/>
            <w:left w:val="none" w:sz="0" w:space="0" w:color="auto"/>
            <w:bottom w:val="none" w:sz="0" w:space="0" w:color="auto"/>
            <w:right w:val="none" w:sz="0" w:space="0" w:color="auto"/>
          </w:divBdr>
        </w:div>
        <w:div w:id="1880386932">
          <w:marLeft w:val="709"/>
          <w:marRight w:val="0"/>
          <w:marTop w:val="0"/>
          <w:marBottom w:val="0"/>
          <w:divBdr>
            <w:top w:val="none" w:sz="0" w:space="0" w:color="auto"/>
            <w:left w:val="none" w:sz="0" w:space="0" w:color="auto"/>
            <w:bottom w:val="none" w:sz="0" w:space="0" w:color="auto"/>
            <w:right w:val="none" w:sz="0" w:space="0" w:color="auto"/>
          </w:divBdr>
        </w:div>
        <w:div w:id="283082077">
          <w:marLeft w:val="284"/>
          <w:marRight w:val="0"/>
          <w:marTop w:val="0"/>
          <w:marBottom w:val="0"/>
          <w:divBdr>
            <w:top w:val="none" w:sz="0" w:space="0" w:color="auto"/>
            <w:left w:val="none" w:sz="0" w:space="0" w:color="auto"/>
            <w:bottom w:val="none" w:sz="0" w:space="0" w:color="auto"/>
            <w:right w:val="none" w:sz="0" w:space="0" w:color="auto"/>
          </w:divBdr>
        </w:div>
        <w:div w:id="214587713">
          <w:marLeft w:val="284"/>
          <w:marRight w:val="0"/>
          <w:marTop w:val="0"/>
          <w:marBottom w:val="0"/>
          <w:divBdr>
            <w:top w:val="none" w:sz="0" w:space="0" w:color="auto"/>
            <w:left w:val="none" w:sz="0" w:space="0" w:color="auto"/>
            <w:bottom w:val="none" w:sz="0" w:space="0" w:color="auto"/>
            <w:right w:val="none" w:sz="0" w:space="0" w:color="auto"/>
          </w:divBdr>
        </w:div>
        <w:div w:id="626547810">
          <w:marLeft w:val="284"/>
          <w:marRight w:val="0"/>
          <w:marTop w:val="0"/>
          <w:marBottom w:val="0"/>
          <w:divBdr>
            <w:top w:val="none" w:sz="0" w:space="0" w:color="auto"/>
            <w:left w:val="none" w:sz="0" w:space="0" w:color="auto"/>
            <w:bottom w:val="none" w:sz="0" w:space="0" w:color="auto"/>
            <w:right w:val="none" w:sz="0" w:space="0" w:color="auto"/>
          </w:divBdr>
        </w:div>
        <w:div w:id="1175459604">
          <w:marLeft w:val="284"/>
          <w:marRight w:val="0"/>
          <w:marTop w:val="0"/>
          <w:marBottom w:val="0"/>
          <w:divBdr>
            <w:top w:val="none" w:sz="0" w:space="0" w:color="auto"/>
            <w:left w:val="none" w:sz="0" w:space="0" w:color="auto"/>
            <w:bottom w:val="none" w:sz="0" w:space="0" w:color="auto"/>
            <w:right w:val="none" w:sz="0" w:space="0" w:color="auto"/>
          </w:divBdr>
        </w:div>
        <w:div w:id="1567301482">
          <w:marLeft w:val="284"/>
          <w:marRight w:val="0"/>
          <w:marTop w:val="0"/>
          <w:marBottom w:val="0"/>
          <w:divBdr>
            <w:top w:val="none" w:sz="0" w:space="0" w:color="auto"/>
            <w:left w:val="none" w:sz="0" w:space="0" w:color="auto"/>
            <w:bottom w:val="none" w:sz="0" w:space="0" w:color="auto"/>
            <w:right w:val="none" w:sz="0" w:space="0" w:color="auto"/>
          </w:divBdr>
        </w:div>
        <w:div w:id="668368517">
          <w:marLeft w:val="284"/>
          <w:marRight w:val="0"/>
          <w:marTop w:val="0"/>
          <w:marBottom w:val="0"/>
          <w:divBdr>
            <w:top w:val="none" w:sz="0" w:space="0" w:color="auto"/>
            <w:left w:val="none" w:sz="0" w:space="0" w:color="auto"/>
            <w:bottom w:val="none" w:sz="0" w:space="0" w:color="auto"/>
            <w:right w:val="none" w:sz="0" w:space="0" w:color="auto"/>
          </w:divBdr>
        </w:div>
        <w:div w:id="1859149902">
          <w:marLeft w:val="1004"/>
          <w:marRight w:val="0"/>
          <w:marTop w:val="0"/>
          <w:marBottom w:val="0"/>
          <w:divBdr>
            <w:top w:val="none" w:sz="0" w:space="0" w:color="auto"/>
            <w:left w:val="none" w:sz="0" w:space="0" w:color="auto"/>
            <w:bottom w:val="none" w:sz="0" w:space="0" w:color="auto"/>
            <w:right w:val="none" w:sz="0" w:space="0" w:color="auto"/>
          </w:divBdr>
        </w:div>
        <w:div w:id="1126702008">
          <w:marLeft w:val="1004"/>
          <w:marRight w:val="0"/>
          <w:marTop w:val="0"/>
          <w:marBottom w:val="0"/>
          <w:divBdr>
            <w:top w:val="none" w:sz="0" w:space="0" w:color="auto"/>
            <w:left w:val="none" w:sz="0" w:space="0" w:color="auto"/>
            <w:bottom w:val="none" w:sz="0" w:space="0" w:color="auto"/>
            <w:right w:val="none" w:sz="0" w:space="0" w:color="auto"/>
          </w:divBdr>
        </w:div>
        <w:div w:id="1767535717">
          <w:marLeft w:val="1004"/>
          <w:marRight w:val="0"/>
          <w:marTop w:val="0"/>
          <w:marBottom w:val="0"/>
          <w:divBdr>
            <w:top w:val="none" w:sz="0" w:space="0" w:color="auto"/>
            <w:left w:val="none" w:sz="0" w:space="0" w:color="auto"/>
            <w:bottom w:val="none" w:sz="0" w:space="0" w:color="auto"/>
            <w:right w:val="none" w:sz="0" w:space="0" w:color="auto"/>
          </w:divBdr>
        </w:div>
        <w:div w:id="1970428567">
          <w:marLeft w:val="1004"/>
          <w:marRight w:val="0"/>
          <w:marTop w:val="0"/>
          <w:marBottom w:val="0"/>
          <w:divBdr>
            <w:top w:val="none" w:sz="0" w:space="0" w:color="auto"/>
            <w:left w:val="none" w:sz="0" w:space="0" w:color="auto"/>
            <w:bottom w:val="none" w:sz="0" w:space="0" w:color="auto"/>
            <w:right w:val="none" w:sz="0" w:space="0" w:color="auto"/>
          </w:divBdr>
        </w:div>
        <w:div w:id="1742556870">
          <w:marLeft w:val="284"/>
          <w:marRight w:val="0"/>
          <w:marTop w:val="0"/>
          <w:marBottom w:val="0"/>
          <w:divBdr>
            <w:top w:val="none" w:sz="0" w:space="0" w:color="auto"/>
            <w:left w:val="none" w:sz="0" w:space="0" w:color="auto"/>
            <w:bottom w:val="none" w:sz="0" w:space="0" w:color="auto"/>
            <w:right w:val="none" w:sz="0" w:space="0" w:color="auto"/>
          </w:divBdr>
        </w:div>
        <w:div w:id="369301790">
          <w:marLeft w:val="284"/>
          <w:marRight w:val="0"/>
          <w:marTop w:val="0"/>
          <w:marBottom w:val="0"/>
          <w:divBdr>
            <w:top w:val="none" w:sz="0" w:space="0" w:color="auto"/>
            <w:left w:val="none" w:sz="0" w:space="0" w:color="auto"/>
            <w:bottom w:val="none" w:sz="0" w:space="0" w:color="auto"/>
            <w:right w:val="none" w:sz="0" w:space="0" w:color="auto"/>
          </w:divBdr>
        </w:div>
        <w:div w:id="758454156">
          <w:marLeft w:val="1004"/>
          <w:marRight w:val="0"/>
          <w:marTop w:val="0"/>
          <w:marBottom w:val="0"/>
          <w:divBdr>
            <w:top w:val="none" w:sz="0" w:space="0" w:color="auto"/>
            <w:left w:val="none" w:sz="0" w:space="0" w:color="auto"/>
            <w:bottom w:val="none" w:sz="0" w:space="0" w:color="auto"/>
            <w:right w:val="none" w:sz="0" w:space="0" w:color="auto"/>
          </w:divBdr>
        </w:div>
        <w:div w:id="1666668774">
          <w:marLeft w:val="1004"/>
          <w:marRight w:val="0"/>
          <w:marTop w:val="0"/>
          <w:marBottom w:val="0"/>
          <w:divBdr>
            <w:top w:val="none" w:sz="0" w:space="0" w:color="auto"/>
            <w:left w:val="none" w:sz="0" w:space="0" w:color="auto"/>
            <w:bottom w:val="none" w:sz="0" w:space="0" w:color="auto"/>
            <w:right w:val="none" w:sz="0" w:space="0" w:color="auto"/>
          </w:divBdr>
        </w:div>
        <w:div w:id="316424671">
          <w:marLeft w:val="1364"/>
          <w:marRight w:val="0"/>
          <w:marTop w:val="0"/>
          <w:marBottom w:val="0"/>
          <w:divBdr>
            <w:top w:val="none" w:sz="0" w:space="0" w:color="auto"/>
            <w:left w:val="none" w:sz="0" w:space="0" w:color="auto"/>
            <w:bottom w:val="none" w:sz="0" w:space="0" w:color="auto"/>
            <w:right w:val="none" w:sz="0" w:space="0" w:color="auto"/>
          </w:divBdr>
        </w:div>
        <w:div w:id="539781803">
          <w:marLeft w:val="1364"/>
          <w:marRight w:val="0"/>
          <w:marTop w:val="0"/>
          <w:marBottom w:val="0"/>
          <w:divBdr>
            <w:top w:val="none" w:sz="0" w:space="0" w:color="auto"/>
            <w:left w:val="none" w:sz="0" w:space="0" w:color="auto"/>
            <w:bottom w:val="none" w:sz="0" w:space="0" w:color="auto"/>
            <w:right w:val="none" w:sz="0" w:space="0" w:color="auto"/>
          </w:divBdr>
        </w:div>
        <w:div w:id="1371296433">
          <w:marLeft w:val="1364"/>
          <w:marRight w:val="0"/>
          <w:marTop w:val="0"/>
          <w:marBottom w:val="0"/>
          <w:divBdr>
            <w:top w:val="none" w:sz="0" w:space="0" w:color="auto"/>
            <w:left w:val="none" w:sz="0" w:space="0" w:color="auto"/>
            <w:bottom w:val="none" w:sz="0" w:space="0" w:color="auto"/>
            <w:right w:val="none" w:sz="0" w:space="0" w:color="auto"/>
          </w:divBdr>
        </w:div>
        <w:div w:id="1870752260">
          <w:marLeft w:val="1364"/>
          <w:marRight w:val="0"/>
          <w:marTop w:val="0"/>
          <w:marBottom w:val="0"/>
          <w:divBdr>
            <w:top w:val="none" w:sz="0" w:space="0" w:color="auto"/>
            <w:left w:val="none" w:sz="0" w:space="0" w:color="auto"/>
            <w:bottom w:val="none" w:sz="0" w:space="0" w:color="auto"/>
            <w:right w:val="none" w:sz="0" w:space="0" w:color="auto"/>
          </w:divBdr>
        </w:div>
        <w:div w:id="1152940610">
          <w:marLeft w:val="1364"/>
          <w:marRight w:val="0"/>
          <w:marTop w:val="0"/>
          <w:marBottom w:val="0"/>
          <w:divBdr>
            <w:top w:val="none" w:sz="0" w:space="0" w:color="auto"/>
            <w:left w:val="none" w:sz="0" w:space="0" w:color="auto"/>
            <w:bottom w:val="none" w:sz="0" w:space="0" w:color="auto"/>
            <w:right w:val="none" w:sz="0" w:space="0" w:color="auto"/>
          </w:divBdr>
        </w:div>
        <w:div w:id="1758208185">
          <w:marLeft w:val="284"/>
          <w:marRight w:val="0"/>
          <w:marTop w:val="0"/>
          <w:marBottom w:val="0"/>
          <w:divBdr>
            <w:top w:val="none" w:sz="0" w:space="0" w:color="auto"/>
            <w:left w:val="none" w:sz="0" w:space="0" w:color="auto"/>
            <w:bottom w:val="none" w:sz="0" w:space="0" w:color="auto"/>
            <w:right w:val="none" w:sz="0" w:space="0" w:color="auto"/>
          </w:divBdr>
        </w:div>
        <w:div w:id="1771387956">
          <w:marLeft w:val="284"/>
          <w:marRight w:val="0"/>
          <w:marTop w:val="0"/>
          <w:marBottom w:val="0"/>
          <w:divBdr>
            <w:top w:val="none" w:sz="0" w:space="0" w:color="auto"/>
            <w:left w:val="none" w:sz="0" w:space="0" w:color="auto"/>
            <w:bottom w:val="none" w:sz="0" w:space="0" w:color="auto"/>
            <w:right w:val="none" w:sz="0" w:space="0" w:color="auto"/>
          </w:divBdr>
        </w:div>
        <w:div w:id="730032441">
          <w:marLeft w:val="284"/>
          <w:marRight w:val="0"/>
          <w:marTop w:val="0"/>
          <w:marBottom w:val="0"/>
          <w:divBdr>
            <w:top w:val="none" w:sz="0" w:space="0" w:color="auto"/>
            <w:left w:val="none" w:sz="0" w:space="0" w:color="auto"/>
            <w:bottom w:val="none" w:sz="0" w:space="0" w:color="auto"/>
            <w:right w:val="none" w:sz="0" w:space="0" w:color="auto"/>
          </w:divBdr>
        </w:div>
        <w:div w:id="1650012761">
          <w:marLeft w:val="284"/>
          <w:marRight w:val="0"/>
          <w:marTop w:val="0"/>
          <w:marBottom w:val="0"/>
          <w:divBdr>
            <w:top w:val="none" w:sz="0" w:space="0" w:color="auto"/>
            <w:left w:val="none" w:sz="0" w:space="0" w:color="auto"/>
            <w:bottom w:val="none" w:sz="0" w:space="0" w:color="auto"/>
            <w:right w:val="none" w:sz="0" w:space="0" w:color="auto"/>
          </w:divBdr>
        </w:div>
        <w:div w:id="426654530">
          <w:marLeft w:val="284"/>
          <w:marRight w:val="0"/>
          <w:marTop w:val="0"/>
          <w:marBottom w:val="0"/>
          <w:divBdr>
            <w:top w:val="none" w:sz="0" w:space="0" w:color="auto"/>
            <w:left w:val="none" w:sz="0" w:space="0" w:color="auto"/>
            <w:bottom w:val="none" w:sz="0" w:space="0" w:color="auto"/>
            <w:right w:val="none" w:sz="0" w:space="0" w:color="auto"/>
          </w:divBdr>
        </w:div>
        <w:div w:id="1877811420">
          <w:marLeft w:val="1004"/>
          <w:marRight w:val="0"/>
          <w:marTop w:val="0"/>
          <w:marBottom w:val="0"/>
          <w:divBdr>
            <w:top w:val="none" w:sz="0" w:space="0" w:color="auto"/>
            <w:left w:val="none" w:sz="0" w:space="0" w:color="auto"/>
            <w:bottom w:val="none" w:sz="0" w:space="0" w:color="auto"/>
            <w:right w:val="none" w:sz="0" w:space="0" w:color="auto"/>
          </w:divBdr>
        </w:div>
        <w:div w:id="567230734">
          <w:marLeft w:val="1004"/>
          <w:marRight w:val="0"/>
          <w:marTop w:val="0"/>
          <w:marBottom w:val="0"/>
          <w:divBdr>
            <w:top w:val="none" w:sz="0" w:space="0" w:color="auto"/>
            <w:left w:val="none" w:sz="0" w:space="0" w:color="auto"/>
            <w:bottom w:val="none" w:sz="0" w:space="0" w:color="auto"/>
            <w:right w:val="none" w:sz="0" w:space="0" w:color="auto"/>
          </w:divBdr>
        </w:div>
        <w:div w:id="1055814934">
          <w:marLeft w:val="1004"/>
          <w:marRight w:val="0"/>
          <w:marTop w:val="0"/>
          <w:marBottom w:val="0"/>
          <w:divBdr>
            <w:top w:val="none" w:sz="0" w:space="0" w:color="auto"/>
            <w:left w:val="none" w:sz="0" w:space="0" w:color="auto"/>
            <w:bottom w:val="none" w:sz="0" w:space="0" w:color="auto"/>
            <w:right w:val="none" w:sz="0" w:space="0" w:color="auto"/>
          </w:divBdr>
        </w:div>
        <w:div w:id="149291999">
          <w:marLeft w:val="1004"/>
          <w:marRight w:val="0"/>
          <w:marTop w:val="0"/>
          <w:marBottom w:val="0"/>
          <w:divBdr>
            <w:top w:val="none" w:sz="0" w:space="0" w:color="auto"/>
            <w:left w:val="none" w:sz="0" w:space="0" w:color="auto"/>
            <w:bottom w:val="none" w:sz="0" w:space="0" w:color="auto"/>
            <w:right w:val="none" w:sz="0" w:space="0" w:color="auto"/>
          </w:divBdr>
        </w:div>
        <w:div w:id="390882714">
          <w:marLeft w:val="284"/>
          <w:marRight w:val="0"/>
          <w:marTop w:val="0"/>
          <w:marBottom w:val="0"/>
          <w:divBdr>
            <w:top w:val="none" w:sz="0" w:space="0" w:color="auto"/>
            <w:left w:val="none" w:sz="0" w:space="0" w:color="auto"/>
            <w:bottom w:val="none" w:sz="0" w:space="0" w:color="auto"/>
            <w:right w:val="none" w:sz="0" w:space="0" w:color="auto"/>
          </w:divBdr>
        </w:div>
        <w:div w:id="2105833669">
          <w:marLeft w:val="284"/>
          <w:marRight w:val="0"/>
          <w:marTop w:val="0"/>
          <w:marBottom w:val="0"/>
          <w:divBdr>
            <w:top w:val="none" w:sz="0" w:space="0" w:color="auto"/>
            <w:left w:val="none" w:sz="0" w:space="0" w:color="auto"/>
            <w:bottom w:val="none" w:sz="0" w:space="0" w:color="auto"/>
            <w:right w:val="none" w:sz="0" w:space="0" w:color="auto"/>
          </w:divBdr>
        </w:div>
        <w:div w:id="1031757537">
          <w:marLeft w:val="284"/>
          <w:marRight w:val="0"/>
          <w:marTop w:val="0"/>
          <w:marBottom w:val="0"/>
          <w:divBdr>
            <w:top w:val="none" w:sz="0" w:space="0" w:color="auto"/>
            <w:left w:val="none" w:sz="0" w:space="0" w:color="auto"/>
            <w:bottom w:val="none" w:sz="0" w:space="0" w:color="auto"/>
            <w:right w:val="none" w:sz="0" w:space="0" w:color="auto"/>
          </w:divBdr>
        </w:div>
        <w:div w:id="203373857">
          <w:marLeft w:val="284"/>
          <w:marRight w:val="0"/>
          <w:marTop w:val="0"/>
          <w:marBottom w:val="0"/>
          <w:divBdr>
            <w:top w:val="none" w:sz="0" w:space="0" w:color="auto"/>
            <w:left w:val="none" w:sz="0" w:space="0" w:color="auto"/>
            <w:bottom w:val="none" w:sz="0" w:space="0" w:color="auto"/>
            <w:right w:val="none" w:sz="0" w:space="0" w:color="auto"/>
          </w:divBdr>
        </w:div>
        <w:div w:id="784733214">
          <w:marLeft w:val="284"/>
          <w:marRight w:val="0"/>
          <w:marTop w:val="0"/>
          <w:marBottom w:val="0"/>
          <w:divBdr>
            <w:top w:val="none" w:sz="0" w:space="0" w:color="auto"/>
            <w:left w:val="none" w:sz="0" w:space="0" w:color="auto"/>
            <w:bottom w:val="none" w:sz="0" w:space="0" w:color="auto"/>
            <w:right w:val="none" w:sz="0" w:space="0" w:color="auto"/>
          </w:divBdr>
        </w:div>
        <w:div w:id="1124544176">
          <w:marLeft w:val="284"/>
          <w:marRight w:val="0"/>
          <w:marTop w:val="0"/>
          <w:marBottom w:val="0"/>
          <w:divBdr>
            <w:top w:val="none" w:sz="0" w:space="0" w:color="auto"/>
            <w:left w:val="none" w:sz="0" w:space="0" w:color="auto"/>
            <w:bottom w:val="none" w:sz="0" w:space="0" w:color="auto"/>
            <w:right w:val="none" w:sz="0" w:space="0" w:color="auto"/>
          </w:divBdr>
        </w:div>
        <w:div w:id="907961632">
          <w:marLeft w:val="1004"/>
          <w:marRight w:val="0"/>
          <w:marTop w:val="0"/>
          <w:marBottom w:val="0"/>
          <w:divBdr>
            <w:top w:val="none" w:sz="0" w:space="0" w:color="auto"/>
            <w:left w:val="none" w:sz="0" w:space="0" w:color="auto"/>
            <w:bottom w:val="none" w:sz="0" w:space="0" w:color="auto"/>
            <w:right w:val="none" w:sz="0" w:space="0" w:color="auto"/>
          </w:divBdr>
        </w:div>
        <w:div w:id="541021645">
          <w:marLeft w:val="1004"/>
          <w:marRight w:val="0"/>
          <w:marTop w:val="0"/>
          <w:marBottom w:val="0"/>
          <w:divBdr>
            <w:top w:val="none" w:sz="0" w:space="0" w:color="auto"/>
            <w:left w:val="none" w:sz="0" w:space="0" w:color="auto"/>
            <w:bottom w:val="none" w:sz="0" w:space="0" w:color="auto"/>
            <w:right w:val="none" w:sz="0" w:space="0" w:color="auto"/>
          </w:divBdr>
        </w:div>
        <w:div w:id="1216236066">
          <w:marLeft w:val="1004"/>
          <w:marRight w:val="0"/>
          <w:marTop w:val="0"/>
          <w:marBottom w:val="0"/>
          <w:divBdr>
            <w:top w:val="none" w:sz="0" w:space="0" w:color="auto"/>
            <w:left w:val="none" w:sz="0" w:space="0" w:color="auto"/>
            <w:bottom w:val="none" w:sz="0" w:space="0" w:color="auto"/>
            <w:right w:val="none" w:sz="0" w:space="0" w:color="auto"/>
          </w:divBdr>
        </w:div>
        <w:div w:id="372703497">
          <w:marLeft w:val="1004"/>
          <w:marRight w:val="0"/>
          <w:marTop w:val="0"/>
          <w:marBottom w:val="0"/>
          <w:divBdr>
            <w:top w:val="none" w:sz="0" w:space="0" w:color="auto"/>
            <w:left w:val="none" w:sz="0" w:space="0" w:color="auto"/>
            <w:bottom w:val="none" w:sz="0" w:space="0" w:color="auto"/>
            <w:right w:val="none" w:sz="0" w:space="0" w:color="auto"/>
          </w:divBdr>
        </w:div>
        <w:div w:id="1261992013">
          <w:marLeft w:val="284"/>
          <w:marRight w:val="0"/>
          <w:marTop w:val="0"/>
          <w:marBottom w:val="0"/>
          <w:divBdr>
            <w:top w:val="none" w:sz="0" w:space="0" w:color="auto"/>
            <w:left w:val="none" w:sz="0" w:space="0" w:color="auto"/>
            <w:bottom w:val="none" w:sz="0" w:space="0" w:color="auto"/>
            <w:right w:val="none" w:sz="0" w:space="0" w:color="auto"/>
          </w:divBdr>
        </w:div>
        <w:div w:id="1594776683">
          <w:marLeft w:val="284"/>
          <w:marRight w:val="0"/>
          <w:marTop w:val="0"/>
          <w:marBottom w:val="0"/>
          <w:divBdr>
            <w:top w:val="none" w:sz="0" w:space="0" w:color="auto"/>
            <w:left w:val="none" w:sz="0" w:space="0" w:color="auto"/>
            <w:bottom w:val="none" w:sz="0" w:space="0" w:color="auto"/>
            <w:right w:val="none" w:sz="0" w:space="0" w:color="auto"/>
          </w:divBdr>
        </w:div>
        <w:div w:id="630478380">
          <w:marLeft w:val="284"/>
          <w:marRight w:val="0"/>
          <w:marTop w:val="0"/>
          <w:marBottom w:val="0"/>
          <w:divBdr>
            <w:top w:val="none" w:sz="0" w:space="0" w:color="auto"/>
            <w:left w:val="none" w:sz="0" w:space="0" w:color="auto"/>
            <w:bottom w:val="none" w:sz="0" w:space="0" w:color="auto"/>
            <w:right w:val="none" w:sz="0" w:space="0" w:color="auto"/>
          </w:divBdr>
        </w:div>
        <w:div w:id="1924755359">
          <w:marLeft w:val="284"/>
          <w:marRight w:val="0"/>
          <w:marTop w:val="0"/>
          <w:marBottom w:val="0"/>
          <w:divBdr>
            <w:top w:val="none" w:sz="0" w:space="0" w:color="auto"/>
            <w:left w:val="none" w:sz="0" w:space="0" w:color="auto"/>
            <w:bottom w:val="none" w:sz="0" w:space="0" w:color="auto"/>
            <w:right w:val="none" w:sz="0" w:space="0" w:color="auto"/>
          </w:divBdr>
        </w:div>
        <w:div w:id="1192232041">
          <w:marLeft w:val="284"/>
          <w:marRight w:val="0"/>
          <w:marTop w:val="0"/>
          <w:marBottom w:val="0"/>
          <w:divBdr>
            <w:top w:val="none" w:sz="0" w:space="0" w:color="auto"/>
            <w:left w:val="none" w:sz="0" w:space="0" w:color="auto"/>
            <w:bottom w:val="none" w:sz="0" w:space="0" w:color="auto"/>
            <w:right w:val="none" w:sz="0" w:space="0" w:color="auto"/>
          </w:divBdr>
        </w:div>
        <w:div w:id="831258627">
          <w:marLeft w:val="1004"/>
          <w:marRight w:val="0"/>
          <w:marTop w:val="0"/>
          <w:marBottom w:val="0"/>
          <w:divBdr>
            <w:top w:val="none" w:sz="0" w:space="0" w:color="auto"/>
            <w:left w:val="none" w:sz="0" w:space="0" w:color="auto"/>
            <w:bottom w:val="none" w:sz="0" w:space="0" w:color="auto"/>
            <w:right w:val="none" w:sz="0" w:space="0" w:color="auto"/>
          </w:divBdr>
        </w:div>
        <w:div w:id="1943103741">
          <w:marLeft w:val="1004"/>
          <w:marRight w:val="0"/>
          <w:marTop w:val="0"/>
          <w:marBottom w:val="0"/>
          <w:divBdr>
            <w:top w:val="none" w:sz="0" w:space="0" w:color="auto"/>
            <w:left w:val="none" w:sz="0" w:space="0" w:color="auto"/>
            <w:bottom w:val="none" w:sz="0" w:space="0" w:color="auto"/>
            <w:right w:val="none" w:sz="0" w:space="0" w:color="auto"/>
          </w:divBdr>
        </w:div>
        <w:div w:id="1667781860">
          <w:marLeft w:val="1004"/>
          <w:marRight w:val="0"/>
          <w:marTop w:val="0"/>
          <w:marBottom w:val="0"/>
          <w:divBdr>
            <w:top w:val="none" w:sz="0" w:space="0" w:color="auto"/>
            <w:left w:val="none" w:sz="0" w:space="0" w:color="auto"/>
            <w:bottom w:val="none" w:sz="0" w:space="0" w:color="auto"/>
            <w:right w:val="none" w:sz="0" w:space="0" w:color="auto"/>
          </w:divBdr>
        </w:div>
        <w:div w:id="1571847466">
          <w:marLeft w:val="1004"/>
          <w:marRight w:val="0"/>
          <w:marTop w:val="0"/>
          <w:marBottom w:val="0"/>
          <w:divBdr>
            <w:top w:val="none" w:sz="0" w:space="0" w:color="auto"/>
            <w:left w:val="none" w:sz="0" w:space="0" w:color="auto"/>
            <w:bottom w:val="none" w:sz="0" w:space="0" w:color="auto"/>
            <w:right w:val="none" w:sz="0" w:space="0" w:color="auto"/>
          </w:divBdr>
        </w:div>
        <w:div w:id="1824858232">
          <w:marLeft w:val="284"/>
          <w:marRight w:val="0"/>
          <w:marTop w:val="0"/>
          <w:marBottom w:val="0"/>
          <w:divBdr>
            <w:top w:val="none" w:sz="0" w:space="0" w:color="auto"/>
            <w:left w:val="none" w:sz="0" w:space="0" w:color="auto"/>
            <w:bottom w:val="none" w:sz="0" w:space="0" w:color="auto"/>
            <w:right w:val="none" w:sz="0" w:space="0" w:color="auto"/>
          </w:divBdr>
        </w:div>
        <w:div w:id="983512664">
          <w:marLeft w:val="284"/>
          <w:marRight w:val="0"/>
          <w:marTop w:val="0"/>
          <w:marBottom w:val="0"/>
          <w:divBdr>
            <w:top w:val="none" w:sz="0" w:space="0" w:color="auto"/>
            <w:left w:val="none" w:sz="0" w:space="0" w:color="auto"/>
            <w:bottom w:val="none" w:sz="0" w:space="0" w:color="auto"/>
            <w:right w:val="none" w:sz="0" w:space="0" w:color="auto"/>
          </w:divBdr>
        </w:div>
        <w:div w:id="1852790780">
          <w:marLeft w:val="284"/>
          <w:marRight w:val="0"/>
          <w:marTop w:val="0"/>
          <w:marBottom w:val="0"/>
          <w:divBdr>
            <w:top w:val="none" w:sz="0" w:space="0" w:color="auto"/>
            <w:left w:val="none" w:sz="0" w:space="0" w:color="auto"/>
            <w:bottom w:val="none" w:sz="0" w:space="0" w:color="auto"/>
            <w:right w:val="none" w:sz="0" w:space="0" w:color="auto"/>
          </w:divBdr>
        </w:div>
        <w:div w:id="205525742">
          <w:marLeft w:val="284"/>
          <w:marRight w:val="0"/>
          <w:marTop w:val="0"/>
          <w:marBottom w:val="0"/>
          <w:divBdr>
            <w:top w:val="none" w:sz="0" w:space="0" w:color="auto"/>
            <w:left w:val="none" w:sz="0" w:space="0" w:color="auto"/>
            <w:bottom w:val="none" w:sz="0" w:space="0" w:color="auto"/>
            <w:right w:val="none" w:sz="0" w:space="0" w:color="auto"/>
          </w:divBdr>
        </w:div>
        <w:div w:id="868683386">
          <w:marLeft w:val="284"/>
          <w:marRight w:val="0"/>
          <w:marTop w:val="0"/>
          <w:marBottom w:val="0"/>
          <w:divBdr>
            <w:top w:val="none" w:sz="0" w:space="0" w:color="auto"/>
            <w:left w:val="none" w:sz="0" w:space="0" w:color="auto"/>
            <w:bottom w:val="none" w:sz="0" w:space="0" w:color="auto"/>
            <w:right w:val="none" w:sz="0" w:space="0" w:color="auto"/>
          </w:divBdr>
        </w:div>
        <w:div w:id="1556114957">
          <w:marLeft w:val="1004"/>
          <w:marRight w:val="0"/>
          <w:marTop w:val="0"/>
          <w:marBottom w:val="0"/>
          <w:divBdr>
            <w:top w:val="none" w:sz="0" w:space="0" w:color="auto"/>
            <w:left w:val="none" w:sz="0" w:space="0" w:color="auto"/>
            <w:bottom w:val="none" w:sz="0" w:space="0" w:color="auto"/>
            <w:right w:val="none" w:sz="0" w:space="0" w:color="auto"/>
          </w:divBdr>
        </w:div>
        <w:div w:id="375160436">
          <w:marLeft w:val="1004"/>
          <w:marRight w:val="0"/>
          <w:marTop w:val="0"/>
          <w:marBottom w:val="0"/>
          <w:divBdr>
            <w:top w:val="none" w:sz="0" w:space="0" w:color="auto"/>
            <w:left w:val="none" w:sz="0" w:space="0" w:color="auto"/>
            <w:bottom w:val="none" w:sz="0" w:space="0" w:color="auto"/>
            <w:right w:val="none" w:sz="0" w:space="0" w:color="auto"/>
          </w:divBdr>
        </w:div>
        <w:div w:id="1654020991">
          <w:marLeft w:val="1364"/>
          <w:marRight w:val="0"/>
          <w:marTop w:val="0"/>
          <w:marBottom w:val="0"/>
          <w:divBdr>
            <w:top w:val="none" w:sz="0" w:space="0" w:color="auto"/>
            <w:left w:val="none" w:sz="0" w:space="0" w:color="auto"/>
            <w:bottom w:val="none" w:sz="0" w:space="0" w:color="auto"/>
            <w:right w:val="none" w:sz="0" w:space="0" w:color="auto"/>
          </w:divBdr>
        </w:div>
        <w:div w:id="1283422687">
          <w:marLeft w:val="1364"/>
          <w:marRight w:val="0"/>
          <w:marTop w:val="0"/>
          <w:marBottom w:val="0"/>
          <w:divBdr>
            <w:top w:val="none" w:sz="0" w:space="0" w:color="auto"/>
            <w:left w:val="none" w:sz="0" w:space="0" w:color="auto"/>
            <w:bottom w:val="none" w:sz="0" w:space="0" w:color="auto"/>
            <w:right w:val="none" w:sz="0" w:space="0" w:color="auto"/>
          </w:divBdr>
        </w:div>
        <w:div w:id="2076931864">
          <w:marLeft w:val="1364"/>
          <w:marRight w:val="0"/>
          <w:marTop w:val="0"/>
          <w:marBottom w:val="0"/>
          <w:divBdr>
            <w:top w:val="none" w:sz="0" w:space="0" w:color="auto"/>
            <w:left w:val="none" w:sz="0" w:space="0" w:color="auto"/>
            <w:bottom w:val="none" w:sz="0" w:space="0" w:color="auto"/>
            <w:right w:val="none" w:sz="0" w:space="0" w:color="auto"/>
          </w:divBdr>
        </w:div>
        <w:div w:id="2044288225">
          <w:marLeft w:val="1364"/>
          <w:marRight w:val="0"/>
          <w:marTop w:val="0"/>
          <w:marBottom w:val="0"/>
          <w:divBdr>
            <w:top w:val="none" w:sz="0" w:space="0" w:color="auto"/>
            <w:left w:val="none" w:sz="0" w:space="0" w:color="auto"/>
            <w:bottom w:val="none" w:sz="0" w:space="0" w:color="auto"/>
            <w:right w:val="none" w:sz="0" w:space="0" w:color="auto"/>
          </w:divBdr>
        </w:div>
        <w:div w:id="1343782368">
          <w:marLeft w:val="284"/>
          <w:marRight w:val="0"/>
          <w:marTop w:val="0"/>
          <w:marBottom w:val="0"/>
          <w:divBdr>
            <w:top w:val="none" w:sz="0" w:space="0" w:color="auto"/>
            <w:left w:val="none" w:sz="0" w:space="0" w:color="auto"/>
            <w:bottom w:val="none" w:sz="0" w:space="0" w:color="auto"/>
            <w:right w:val="none" w:sz="0" w:space="0" w:color="auto"/>
          </w:divBdr>
        </w:div>
        <w:div w:id="899630893">
          <w:marLeft w:val="284"/>
          <w:marRight w:val="0"/>
          <w:marTop w:val="0"/>
          <w:marBottom w:val="0"/>
          <w:divBdr>
            <w:top w:val="none" w:sz="0" w:space="0" w:color="auto"/>
            <w:left w:val="none" w:sz="0" w:space="0" w:color="auto"/>
            <w:bottom w:val="none" w:sz="0" w:space="0" w:color="auto"/>
            <w:right w:val="none" w:sz="0" w:space="0" w:color="auto"/>
          </w:divBdr>
        </w:div>
        <w:div w:id="391000294">
          <w:marLeft w:val="284"/>
          <w:marRight w:val="0"/>
          <w:marTop w:val="0"/>
          <w:marBottom w:val="0"/>
          <w:divBdr>
            <w:top w:val="none" w:sz="0" w:space="0" w:color="auto"/>
            <w:left w:val="none" w:sz="0" w:space="0" w:color="auto"/>
            <w:bottom w:val="none" w:sz="0" w:space="0" w:color="auto"/>
            <w:right w:val="none" w:sz="0" w:space="0" w:color="auto"/>
          </w:divBdr>
        </w:div>
        <w:div w:id="1902329992">
          <w:marLeft w:val="284"/>
          <w:marRight w:val="0"/>
          <w:marTop w:val="0"/>
          <w:marBottom w:val="0"/>
          <w:divBdr>
            <w:top w:val="none" w:sz="0" w:space="0" w:color="auto"/>
            <w:left w:val="none" w:sz="0" w:space="0" w:color="auto"/>
            <w:bottom w:val="none" w:sz="0" w:space="0" w:color="auto"/>
            <w:right w:val="none" w:sz="0" w:space="0" w:color="auto"/>
          </w:divBdr>
        </w:div>
        <w:div w:id="1292637416">
          <w:marLeft w:val="284"/>
          <w:marRight w:val="0"/>
          <w:marTop w:val="0"/>
          <w:marBottom w:val="0"/>
          <w:divBdr>
            <w:top w:val="none" w:sz="0" w:space="0" w:color="auto"/>
            <w:left w:val="none" w:sz="0" w:space="0" w:color="auto"/>
            <w:bottom w:val="none" w:sz="0" w:space="0" w:color="auto"/>
            <w:right w:val="none" w:sz="0" w:space="0" w:color="auto"/>
          </w:divBdr>
        </w:div>
        <w:div w:id="77287877">
          <w:marLeft w:val="284"/>
          <w:marRight w:val="0"/>
          <w:marTop w:val="0"/>
          <w:marBottom w:val="0"/>
          <w:divBdr>
            <w:top w:val="none" w:sz="0" w:space="0" w:color="auto"/>
            <w:left w:val="none" w:sz="0" w:space="0" w:color="auto"/>
            <w:bottom w:val="none" w:sz="0" w:space="0" w:color="auto"/>
            <w:right w:val="none" w:sz="0" w:space="0" w:color="auto"/>
          </w:divBdr>
        </w:div>
        <w:div w:id="172915103">
          <w:marLeft w:val="284"/>
          <w:marRight w:val="0"/>
          <w:marTop w:val="0"/>
          <w:marBottom w:val="0"/>
          <w:divBdr>
            <w:top w:val="none" w:sz="0" w:space="0" w:color="auto"/>
            <w:left w:val="none" w:sz="0" w:space="0" w:color="auto"/>
            <w:bottom w:val="none" w:sz="0" w:space="0" w:color="auto"/>
            <w:right w:val="none" w:sz="0" w:space="0" w:color="auto"/>
          </w:divBdr>
        </w:div>
        <w:div w:id="1968272518">
          <w:marLeft w:val="284"/>
          <w:marRight w:val="0"/>
          <w:marTop w:val="0"/>
          <w:marBottom w:val="0"/>
          <w:divBdr>
            <w:top w:val="none" w:sz="0" w:space="0" w:color="auto"/>
            <w:left w:val="none" w:sz="0" w:space="0" w:color="auto"/>
            <w:bottom w:val="none" w:sz="0" w:space="0" w:color="auto"/>
            <w:right w:val="none" w:sz="0" w:space="0" w:color="auto"/>
          </w:divBdr>
        </w:div>
        <w:div w:id="1753164533">
          <w:marLeft w:val="284"/>
          <w:marRight w:val="0"/>
          <w:marTop w:val="0"/>
          <w:marBottom w:val="0"/>
          <w:divBdr>
            <w:top w:val="none" w:sz="0" w:space="0" w:color="auto"/>
            <w:left w:val="none" w:sz="0" w:space="0" w:color="auto"/>
            <w:bottom w:val="none" w:sz="0" w:space="0" w:color="auto"/>
            <w:right w:val="none" w:sz="0" w:space="0" w:color="auto"/>
          </w:divBdr>
        </w:div>
        <w:div w:id="241842599">
          <w:marLeft w:val="284"/>
          <w:marRight w:val="0"/>
          <w:marTop w:val="0"/>
          <w:marBottom w:val="0"/>
          <w:divBdr>
            <w:top w:val="none" w:sz="0" w:space="0" w:color="auto"/>
            <w:left w:val="none" w:sz="0" w:space="0" w:color="auto"/>
            <w:bottom w:val="none" w:sz="0" w:space="0" w:color="auto"/>
            <w:right w:val="none" w:sz="0" w:space="0" w:color="auto"/>
          </w:divBdr>
        </w:div>
        <w:div w:id="1365591409">
          <w:marLeft w:val="284"/>
          <w:marRight w:val="0"/>
          <w:marTop w:val="0"/>
          <w:marBottom w:val="0"/>
          <w:divBdr>
            <w:top w:val="none" w:sz="0" w:space="0" w:color="auto"/>
            <w:left w:val="none" w:sz="0" w:space="0" w:color="auto"/>
            <w:bottom w:val="none" w:sz="0" w:space="0" w:color="auto"/>
            <w:right w:val="none" w:sz="0" w:space="0" w:color="auto"/>
          </w:divBdr>
        </w:div>
        <w:div w:id="659499915">
          <w:marLeft w:val="284"/>
          <w:marRight w:val="0"/>
          <w:marTop w:val="0"/>
          <w:marBottom w:val="0"/>
          <w:divBdr>
            <w:top w:val="none" w:sz="0" w:space="0" w:color="auto"/>
            <w:left w:val="none" w:sz="0" w:space="0" w:color="auto"/>
            <w:bottom w:val="none" w:sz="0" w:space="0" w:color="auto"/>
            <w:right w:val="none" w:sz="0" w:space="0" w:color="auto"/>
          </w:divBdr>
        </w:div>
        <w:div w:id="460851609">
          <w:marLeft w:val="284"/>
          <w:marRight w:val="0"/>
          <w:marTop w:val="0"/>
          <w:marBottom w:val="0"/>
          <w:divBdr>
            <w:top w:val="none" w:sz="0" w:space="0" w:color="auto"/>
            <w:left w:val="none" w:sz="0" w:space="0" w:color="auto"/>
            <w:bottom w:val="none" w:sz="0" w:space="0" w:color="auto"/>
            <w:right w:val="none" w:sz="0" w:space="0" w:color="auto"/>
          </w:divBdr>
        </w:div>
        <w:div w:id="837693731">
          <w:marLeft w:val="284"/>
          <w:marRight w:val="0"/>
          <w:marTop w:val="0"/>
          <w:marBottom w:val="0"/>
          <w:divBdr>
            <w:top w:val="none" w:sz="0" w:space="0" w:color="auto"/>
            <w:left w:val="none" w:sz="0" w:space="0" w:color="auto"/>
            <w:bottom w:val="none" w:sz="0" w:space="0" w:color="auto"/>
            <w:right w:val="none" w:sz="0" w:space="0" w:color="auto"/>
          </w:divBdr>
        </w:div>
        <w:div w:id="405104341">
          <w:marLeft w:val="284"/>
          <w:marRight w:val="0"/>
          <w:marTop w:val="0"/>
          <w:marBottom w:val="0"/>
          <w:divBdr>
            <w:top w:val="none" w:sz="0" w:space="0" w:color="auto"/>
            <w:left w:val="none" w:sz="0" w:space="0" w:color="auto"/>
            <w:bottom w:val="none" w:sz="0" w:space="0" w:color="auto"/>
            <w:right w:val="none" w:sz="0" w:space="0" w:color="auto"/>
          </w:divBdr>
        </w:div>
        <w:div w:id="351155030">
          <w:marLeft w:val="284"/>
          <w:marRight w:val="0"/>
          <w:marTop w:val="0"/>
          <w:marBottom w:val="0"/>
          <w:divBdr>
            <w:top w:val="none" w:sz="0" w:space="0" w:color="auto"/>
            <w:left w:val="none" w:sz="0" w:space="0" w:color="auto"/>
            <w:bottom w:val="none" w:sz="0" w:space="0" w:color="auto"/>
            <w:right w:val="none" w:sz="0" w:space="0" w:color="auto"/>
          </w:divBdr>
        </w:div>
        <w:div w:id="42950636">
          <w:marLeft w:val="284"/>
          <w:marRight w:val="0"/>
          <w:marTop w:val="0"/>
          <w:marBottom w:val="0"/>
          <w:divBdr>
            <w:top w:val="none" w:sz="0" w:space="0" w:color="auto"/>
            <w:left w:val="none" w:sz="0" w:space="0" w:color="auto"/>
            <w:bottom w:val="none" w:sz="0" w:space="0" w:color="auto"/>
            <w:right w:val="none" w:sz="0" w:space="0" w:color="auto"/>
          </w:divBdr>
        </w:div>
        <w:div w:id="175968928">
          <w:marLeft w:val="284"/>
          <w:marRight w:val="0"/>
          <w:marTop w:val="0"/>
          <w:marBottom w:val="0"/>
          <w:divBdr>
            <w:top w:val="none" w:sz="0" w:space="0" w:color="auto"/>
            <w:left w:val="none" w:sz="0" w:space="0" w:color="auto"/>
            <w:bottom w:val="none" w:sz="0" w:space="0" w:color="auto"/>
            <w:right w:val="none" w:sz="0" w:space="0" w:color="auto"/>
          </w:divBdr>
        </w:div>
        <w:div w:id="204021967">
          <w:marLeft w:val="284"/>
          <w:marRight w:val="0"/>
          <w:marTop w:val="0"/>
          <w:marBottom w:val="0"/>
          <w:divBdr>
            <w:top w:val="none" w:sz="0" w:space="0" w:color="auto"/>
            <w:left w:val="none" w:sz="0" w:space="0" w:color="auto"/>
            <w:bottom w:val="none" w:sz="0" w:space="0" w:color="auto"/>
            <w:right w:val="none" w:sz="0" w:space="0" w:color="auto"/>
          </w:divBdr>
        </w:div>
        <w:div w:id="1103184661">
          <w:marLeft w:val="284"/>
          <w:marRight w:val="0"/>
          <w:marTop w:val="0"/>
          <w:marBottom w:val="0"/>
          <w:divBdr>
            <w:top w:val="none" w:sz="0" w:space="0" w:color="auto"/>
            <w:left w:val="none" w:sz="0" w:space="0" w:color="auto"/>
            <w:bottom w:val="none" w:sz="0" w:space="0" w:color="auto"/>
            <w:right w:val="none" w:sz="0" w:space="0" w:color="auto"/>
          </w:divBdr>
        </w:div>
        <w:div w:id="373888254">
          <w:marLeft w:val="284"/>
          <w:marRight w:val="0"/>
          <w:marTop w:val="0"/>
          <w:marBottom w:val="0"/>
          <w:divBdr>
            <w:top w:val="none" w:sz="0" w:space="0" w:color="auto"/>
            <w:left w:val="none" w:sz="0" w:space="0" w:color="auto"/>
            <w:bottom w:val="none" w:sz="0" w:space="0" w:color="auto"/>
            <w:right w:val="none" w:sz="0" w:space="0" w:color="auto"/>
          </w:divBdr>
        </w:div>
        <w:div w:id="1403940611">
          <w:marLeft w:val="284"/>
          <w:marRight w:val="0"/>
          <w:marTop w:val="0"/>
          <w:marBottom w:val="0"/>
          <w:divBdr>
            <w:top w:val="none" w:sz="0" w:space="0" w:color="auto"/>
            <w:left w:val="none" w:sz="0" w:space="0" w:color="auto"/>
            <w:bottom w:val="none" w:sz="0" w:space="0" w:color="auto"/>
            <w:right w:val="none" w:sz="0" w:space="0" w:color="auto"/>
          </w:divBdr>
        </w:div>
        <w:div w:id="1676804142">
          <w:marLeft w:val="284"/>
          <w:marRight w:val="0"/>
          <w:marTop w:val="0"/>
          <w:marBottom w:val="0"/>
          <w:divBdr>
            <w:top w:val="none" w:sz="0" w:space="0" w:color="auto"/>
            <w:left w:val="none" w:sz="0" w:space="0" w:color="auto"/>
            <w:bottom w:val="none" w:sz="0" w:space="0" w:color="auto"/>
            <w:right w:val="none" w:sz="0" w:space="0" w:color="auto"/>
          </w:divBdr>
        </w:div>
        <w:div w:id="2110738676">
          <w:marLeft w:val="284"/>
          <w:marRight w:val="0"/>
          <w:marTop w:val="0"/>
          <w:marBottom w:val="0"/>
          <w:divBdr>
            <w:top w:val="none" w:sz="0" w:space="0" w:color="auto"/>
            <w:left w:val="none" w:sz="0" w:space="0" w:color="auto"/>
            <w:bottom w:val="none" w:sz="0" w:space="0" w:color="auto"/>
            <w:right w:val="none" w:sz="0" w:space="0" w:color="auto"/>
          </w:divBdr>
        </w:div>
        <w:div w:id="1007560637">
          <w:marLeft w:val="284"/>
          <w:marRight w:val="0"/>
          <w:marTop w:val="0"/>
          <w:marBottom w:val="0"/>
          <w:divBdr>
            <w:top w:val="none" w:sz="0" w:space="0" w:color="auto"/>
            <w:left w:val="none" w:sz="0" w:space="0" w:color="auto"/>
            <w:bottom w:val="none" w:sz="0" w:space="0" w:color="auto"/>
            <w:right w:val="none" w:sz="0" w:space="0" w:color="auto"/>
          </w:divBdr>
        </w:div>
        <w:div w:id="294607169">
          <w:marLeft w:val="284"/>
          <w:marRight w:val="0"/>
          <w:marTop w:val="0"/>
          <w:marBottom w:val="0"/>
          <w:divBdr>
            <w:top w:val="none" w:sz="0" w:space="0" w:color="auto"/>
            <w:left w:val="none" w:sz="0" w:space="0" w:color="auto"/>
            <w:bottom w:val="none" w:sz="0" w:space="0" w:color="auto"/>
            <w:right w:val="none" w:sz="0" w:space="0" w:color="auto"/>
          </w:divBdr>
        </w:div>
        <w:div w:id="1135567084">
          <w:marLeft w:val="284"/>
          <w:marRight w:val="0"/>
          <w:marTop w:val="0"/>
          <w:marBottom w:val="0"/>
          <w:divBdr>
            <w:top w:val="none" w:sz="0" w:space="0" w:color="auto"/>
            <w:left w:val="none" w:sz="0" w:space="0" w:color="auto"/>
            <w:bottom w:val="none" w:sz="0" w:space="0" w:color="auto"/>
            <w:right w:val="none" w:sz="0" w:space="0" w:color="auto"/>
          </w:divBdr>
        </w:div>
        <w:div w:id="1347559556">
          <w:marLeft w:val="284"/>
          <w:marRight w:val="0"/>
          <w:marTop w:val="0"/>
          <w:marBottom w:val="0"/>
          <w:divBdr>
            <w:top w:val="none" w:sz="0" w:space="0" w:color="auto"/>
            <w:left w:val="none" w:sz="0" w:space="0" w:color="auto"/>
            <w:bottom w:val="none" w:sz="0" w:space="0" w:color="auto"/>
            <w:right w:val="none" w:sz="0" w:space="0" w:color="auto"/>
          </w:divBdr>
        </w:div>
        <w:div w:id="1959526914">
          <w:marLeft w:val="284"/>
          <w:marRight w:val="0"/>
          <w:marTop w:val="0"/>
          <w:marBottom w:val="0"/>
          <w:divBdr>
            <w:top w:val="none" w:sz="0" w:space="0" w:color="auto"/>
            <w:left w:val="none" w:sz="0" w:space="0" w:color="auto"/>
            <w:bottom w:val="none" w:sz="0" w:space="0" w:color="auto"/>
            <w:right w:val="none" w:sz="0" w:space="0" w:color="auto"/>
          </w:divBdr>
        </w:div>
        <w:div w:id="154953787">
          <w:marLeft w:val="284"/>
          <w:marRight w:val="0"/>
          <w:marTop w:val="0"/>
          <w:marBottom w:val="0"/>
          <w:divBdr>
            <w:top w:val="none" w:sz="0" w:space="0" w:color="auto"/>
            <w:left w:val="none" w:sz="0" w:space="0" w:color="auto"/>
            <w:bottom w:val="none" w:sz="0" w:space="0" w:color="auto"/>
            <w:right w:val="none" w:sz="0" w:space="0" w:color="auto"/>
          </w:divBdr>
        </w:div>
        <w:div w:id="868108428">
          <w:marLeft w:val="284"/>
          <w:marRight w:val="0"/>
          <w:marTop w:val="0"/>
          <w:marBottom w:val="0"/>
          <w:divBdr>
            <w:top w:val="none" w:sz="0" w:space="0" w:color="auto"/>
            <w:left w:val="none" w:sz="0" w:space="0" w:color="auto"/>
            <w:bottom w:val="none" w:sz="0" w:space="0" w:color="auto"/>
            <w:right w:val="none" w:sz="0" w:space="0" w:color="auto"/>
          </w:divBdr>
        </w:div>
        <w:div w:id="974600998">
          <w:marLeft w:val="284"/>
          <w:marRight w:val="0"/>
          <w:marTop w:val="0"/>
          <w:marBottom w:val="0"/>
          <w:divBdr>
            <w:top w:val="none" w:sz="0" w:space="0" w:color="auto"/>
            <w:left w:val="none" w:sz="0" w:space="0" w:color="auto"/>
            <w:bottom w:val="none" w:sz="0" w:space="0" w:color="auto"/>
            <w:right w:val="none" w:sz="0" w:space="0" w:color="auto"/>
          </w:divBdr>
        </w:div>
        <w:div w:id="1173494707">
          <w:marLeft w:val="284"/>
          <w:marRight w:val="0"/>
          <w:marTop w:val="0"/>
          <w:marBottom w:val="0"/>
          <w:divBdr>
            <w:top w:val="none" w:sz="0" w:space="0" w:color="auto"/>
            <w:left w:val="none" w:sz="0" w:space="0" w:color="auto"/>
            <w:bottom w:val="none" w:sz="0" w:space="0" w:color="auto"/>
            <w:right w:val="none" w:sz="0" w:space="0" w:color="auto"/>
          </w:divBdr>
        </w:div>
        <w:div w:id="1040324380">
          <w:marLeft w:val="284"/>
          <w:marRight w:val="0"/>
          <w:marTop w:val="0"/>
          <w:marBottom w:val="0"/>
          <w:divBdr>
            <w:top w:val="none" w:sz="0" w:space="0" w:color="auto"/>
            <w:left w:val="none" w:sz="0" w:space="0" w:color="auto"/>
            <w:bottom w:val="none" w:sz="0" w:space="0" w:color="auto"/>
            <w:right w:val="none" w:sz="0" w:space="0" w:color="auto"/>
          </w:divBdr>
        </w:div>
        <w:div w:id="251011412">
          <w:marLeft w:val="1004"/>
          <w:marRight w:val="0"/>
          <w:marTop w:val="0"/>
          <w:marBottom w:val="0"/>
          <w:divBdr>
            <w:top w:val="none" w:sz="0" w:space="0" w:color="auto"/>
            <w:left w:val="none" w:sz="0" w:space="0" w:color="auto"/>
            <w:bottom w:val="none" w:sz="0" w:space="0" w:color="auto"/>
            <w:right w:val="none" w:sz="0" w:space="0" w:color="auto"/>
          </w:divBdr>
        </w:div>
        <w:div w:id="716122517">
          <w:marLeft w:val="1004"/>
          <w:marRight w:val="0"/>
          <w:marTop w:val="0"/>
          <w:marBottom w:val="0"/>
          <w:divBdr>
            <w:top w:val="none" w:sz="0" w:space="0" w:color="auto"/>
            <w:left w:val="none" w:sz="0" w:space="0" w:color="auto"/>
            <w:bottom w:val="none" w:sz="0" w:space="0" w:color="auto"/>
            <w:right w:val="none" w:sz="0" w:space="0" w:color="auto"/>
          </w:divBdr>
        </w:div>
        <w:div w:id="1588803072">
          <w:marLeft w:val="1004"/>
          <w:marRight w:val="0"/>
          <w:marTop w:val="0"/>
          <w:marBottom w:val="0"/>
          <w:divBdr>
            <w:top w:val="none" w:sz="0" w:space="0" w:color="auto"/>
            <w:left w:val="none" w:sz="0" w:space="0" w:color="auto"/>
            <w:bottom w:val="none" w:sz="0" w:space="0" w:color="auto"/>
            <w:right w:val="none" w:sz="0" w:space="0" w:color="auto"/>
          </w:divBdr>
        </w:div>
        <w:div w:id="703823223">
          <w:marLeft w:val="1004"/>
          <w:marRight w:val="0"/>
          <w:marTop w:val="0"/>
          <w:marBottom w:val="0"/>
          <w:divBdr>
            <w:top w:val="none" w:sz="0" w:space="0" w:color="auto"/>
            <w:left w:val="none" w:sz="0" w:space="0" w:color="auto"/>
            <w:bottom w:val="none" w:sz="0" w:space="0" w:color="auto"/>
            <w:right w:val="none" w:sz="0" w:space="0" w:color="auto"/>
          </w:divBdr>
        </w:div>
        <w:div w:id="2028628965">
          <w:marLeft w:val="284"/>
          <w:marRight w:val="0"/>
          <w:marTop w:val="0"/>
          <w:marBottom w:val="0"/>
          <w:divBdr>
            <w:top w:val="none" w:sz="0" w:space="0" w:color="auto"/>
            <w:left w:val="none" w:sz="0" w:space="0" w:color="auto"/>
            <w:bottom w:val="none" w:sz="0" w:space="0" w:color="auto"/>
            <w:right w:val="none" w:sz="0" w:space="0" w:color="auto"/>
          </w:divBdr>
        </w:div>
        <w:div w:id="1799957656">
          <w:marLeft w:val="284"/>
          <w:marRight w:val="0"/>
          <w:marTop w:val="0"/>
          <w:marBottom w:val="0"/>
          <w:divBdr>
            <w:top w:val="none" w:sz="0" w:space="0" w:color="auto"/>
            <w:left w:val="none" w:sz="0" w:space="0" w:color="auto"/>
            <w:bottom w:val="none" w:sz="0" w:space="0" w:color="auto"/>
            <w:right w:val="none" w:sz="0" w:space="0" w:color="auto"/>
          </w:divBdr>
        </w:div>
        <w:div w:id="1615745458">
          <w:marLeft w:val="1004"/>
          <w:marRight w:val="0"/>
          <w:marTop w:val="0"/>
          <w:marBottom w:val="0"/>
          <w:divBdr>
            <w:top w:val="none" w:sz="0" w:space="0" w:color="auto"/>
            <w:left w:val="none" w:sz="0" w:space="0" w:color="auto"/>
            <w:bottom w:val="none" w:sz="0" w:space="0" w:color="auto"/>
            <w:right w:val="none" w:sz="0" w:space="0" w:color="auto"/>
          </w:divBdr>
        </w:div>
        <w:div w:id="1139037498">
          <w:marLeft w:val="1364"/>
          <w:marRight w:val="0"/>
          <w:marTop w:val="0"/>
          <w:marBottom w:val="0"/>
          <w:divBdr>
            <w:top w:val="none" w:sz="0" w:space="0" w:color="auto"/>
            <w:left w:val="none" w:sz="0" w:space="0" w:color="auto"/>
            <w:bottom w:val="none" w:sz="0" w:space="0" w:color="auto"/>
            <w:right w:val="none" w:sz="0" w:space="0" w:color="auto"/>
          </w:divBdr>
        </w:div>
        <w:div w:id="812259336">
          <w:marLeft w:val="1364"/>
          <w:marRight w:val="0"/>
          <w:marTop w:val="0"/>
          <w:marBottom w:val="0"/>
          <w:divBdr>
            <w:top w:val="none" w:sz="0" w:space="0" w:color="auto"/>
            <w:left w:val="none" w:sz="0" w:space="0" w:color="auto"/>
            <w:bottom w:val="none" w:sz="0" w:space="0" w:color="auto"/>
            <w:right w:val="none" w:sz="0" w:space="0" w:color="auto"/>
          </w:divBdr>
        </w:div>
        <w:div w:id="59988475">
          <w:marLeft w:val="1364"/>
          <w:marRight w:val="0"/>
          <w:marTop w:val="0"/>
          <w:marBottom w:val="0"/>
          <w:divBdr>
            <w:top w:val="none" w:sz="0" w:space="0" w:color="auto"/>
            <w:left w:val="none" w:sz="0" w:space="0" w:color="auto"/>
            <w:bottom w:val="none" w:sz="0" w:space="0" w:color="auto"/>
            <w:right w:val="none" w:sz="0" w:space="0" w:color="auto"/>
          </w:divBdr>
        </w:div>
        <w:div w:id="226232890">
          <w:marLeft w:val="1364"/>
          <w:marRight w:val="0"/>
          <w:marTop w:val="0"/>
          <w:marBottom w:val="0"/>
          <w:divBdr>
            <w:top w:val="none" w:sz="0" w:space="0" w:color="auto"/>
            <w:left w:val="none" w:sz="0" w:space="0" w:color="auto"/>
            <w:bottom w:val="none" w:sz="0" w:space="0" w:color="auto"/>
            <w:right w:val="none" w:sz="0" w:space="0" w:color="auto"/>
          </w:divBdr>
        </w:div>
        <w:div w:id="1466965771">
          <w:marLeft w:val="1364"/>
          <w:marRight w:val="0"/>
          <w:marTop w:val="0"/>
          <w:marBottom w:val="0"/>
          <w:divBdr>
            <w:top w:val="none" w:sz="0" w:space="0" w:color="auto"/>
            <w:left w:val="none" w:sz="0" w:space="0" w:color="auto"/>
            <w:bottom w:val="none" w:sz="0" w:space="0" w:color="auto"/>
            <w:right w:val="none" w:sz="0" w:space="0" w:color="auto"/>
          </w:divBdr>
        </w:div>
        <w:div w:id="1902715233">
          <w:marLeft w:val="1004"/>
          <w:marRight w:val="0"/>
          <w:marTop w:val="0"/>
          <w:marBottom w:val="0"/>
          <w:divBdr>
            <w:top w:val="none" w:sz="0" w:space="0" w:color="auto"/>
            <w:left w:val="none" w:sz="0" w:space="0" w:color="auto"/>
            <w:bottom w:val="none" w:sz="0" w:space="0" w:color="auto"/>
            <w:right w:val="none" w:sz="0" w:space="0" w:color="auto"/>
          </w:divBdr>
        </w:div>
      </w:divsChild>
    </w:div>
    <w:div w:id="467161411">
      <w:bodyDiv w:val="1"/>
      <w:marLeft w:val="0"/>
      <w:marRight w:val="0"/>
      <w:marTop w:val="0"/>
      <w:marBottom w:val="0"/>
      <w:divBdr>
        <w:top w:val="none" w:sz="0" w:space="0" w:color="auto"/>
        <w:left w:val="none" w:sz="0" w:space="0" w:color="auto"/>
        <w:bottom w:val="none" w:sz="0" w:space="0" w:color="auto"/>
        <w:right w:val="none" w:sz="0" w:space="0" w:color="auto"/>
      </w:divBdr>
    </w:div>
    <w:div w:id="490947299">
      <w:bodyDiv w:val="1"/>
      <w:marLeft w:val="0"/>
      <w:marRight w:val="0"/>
      <w:marTop w:val="0"/>
      <w:marBottom w:val="0"/>
      <w:divBdr>
        <w:top w:val="none" w:sz="0" w:space="0" w:color="auto"/>
        <w:left w:val="none" w:sz="0" w:space="0" w:color="auto"/>
        <w:bottom w:val="none" w:sz="0" w:space="0" w:color="auto"/>
        <w:right w:val="none" w:sz="0" w:space="0" w:color="auto"/>
      </w:divBdr>
    </w:div>
    <w:div w:id="537202131">
      <w:bodyDiv w:val="1"/>
      <w:marLeft w:val="0"/>
      <w:marRight w:val="0"/>
      <w:marTop w:val="0"/>
      <w:marBottom w:val="0"/>
      <w:divBdr>
        <w:top w:val="none" w:sz="0" w:space="0" w:color="auto"/>
        <w:left w:val="none" w:sz="0" w:space="0" w:color="auto"/>
        <w:bottom w:val="none" w:sz="0" w:space="0" w:color="auto"/>
        <w:right w:val="none" w:sz="0" w:space="0" w:color="auto"/>
      </w:divBdr>
    </w:div>
    <w:div w:id="548734543">
      <w:bodyDiv w:val="1"/>
      <w:marLeft w:val="0"/>
      <w:marRight w:val="0"/>
      <w:marTop w:val="0"/>
      <w:marBottom w:val="0"/>
      <w:divBdr>
        <w:top w:val="none" w:sz="0" w:space="0" w:color="auto"/>
        <w:left w:val="none" w:sz="0" w:space="0" w:color="auto"/>
        <w:bottom w:val="none" w:sz="0" w:space="0" w:color="auto"/>
        <w:right w:val="none" w:sz="0" w:space="0" w:color="auto"/>
      </w:divBdr>
    </w:div>
    <w:div w:id="662782893">
      <w:bodyDiv w:val="1"/>
      <w:marLeft w:val="0"/>
      <w:marRight w:val="0"/>
      <w:marTop w:val="0"/>
      <w:marBottom w:val="0"/>
      <w:divBdr>
        <w:top w:val="none" w:sz="0" w:space="0" w:color="auto"/>
        <w:left w:val="none" w:sz="0" w:space="0" w:color="auto"/>
        <w:bottom w:val="none" w:sz="0" w:space="0" w:color="auto"/>
        <w:right w:val="none" w:sz="0" w:space="0" w:color="auto"/>
      </w:divBdr>
      <w:divsChild>
        <w:div w:id="798649284">
          <w:marLeft w:val="0"/>
          <w:marRight w:val="0"/>
          <w:marTop w:val="0"/>
          <w:marBottom w:val="0"/>
          <w:divBdr>
            <w:top w:val="none" w:sz="0" w:space="0" w:color="auto"/>
            <w:left w:val="none" w:sz="0" w:space="0" w:color="auto"/>
            <w:bottom w:val="none" w:sz="0" w:space="0" w:color="auto"/>
            <w:right w:val="none" w:sz="0" w:space="0" w:color="auto"/>
          </w:divBdr>
        </w:div>
        <w:div w:id="1971550229">
          <w:marLeft w:val="0"/>
          <w:marRight w:val="0"/>
          <w:marTop w:val="0"/>
          <w:marBottom w:val="0"/>
          <w:divBdr>
            <w:top w:val="none" w:sz="0" w:space="0" w:color="auto"/>
            <w:left w:val="none" w:sz="0" w:space="0" w:color="auto"/>
            <w:bottom w:val="none" w:sz="0" w:space="0" w:color="auto"/>
            <w:right w:val="none" w:sz="0" w:space="0" w:color="auto"/>
          </w:divBdr>
        </w:div>
        <w:div w:id="1165517166">
          <w:marLeft w:val="0"/>
          <w:marRight w:val="0"/>
          <w:marTop w:val="0"/>
          <w:marBottom w:val="0"/>
          <w:divBdr>
            <w:top w:val="none" w:sz="0" w:space="0" w:color="auto"/>
            <w:left w:val="none" w:sz="0" w:space="0" w:color="auto"/>
            <w:bottom w:val="none" w:sz="0" w:space="0" w:color="auto"/>
            <w:right w:val="none" w:sz="0" w:space="0" w:color="auto"/>
          </w:divBdr>
        </w:div>
        <w:div w:id="1336107777">
          <w:marLeft w:val="0"/>
          <w:marRight w:val="0"/>
          <w:marTop w:val="0"/>
          <w:marBottom w:val="0"/>
          <w:divBdr>
            <w:top w:val="none" w:sz="0" w:space="0" w:color="auto"/>
            <w:left w:val="none" w:sz="0" w:space="0" w:color="auto"/>
            <w:bottom w:val="none" w:sz="0" w:space="0" w:color="auto"/>
            <w:right w:val="none" w:sz="0" w:space="0" w:color="auto"/>
          </w:divBdr>
        </w:div>
        <w:div w:id="907689180">
          <w:marLeft w:val="0"/>
          <w:marRight w:val="0"/>
          <w:marTop w:val="0"/>
          <w:marBottom w:val="0"/>
          <w:divBdr>
            <w:top w:val="none" w:sz="0" w:space="0" w:color="auto"/>
            <w:left w:val="none" w:sz="0" w:space="0" w:color="auto"/>
            <w:bottom w:val="none" w:sz="0" w:space="0" w:color="auto"/>
            <w:right w:val="none" w:sz="0" w:space="0" w:color="auto"/>
          </w:divBdr>
        </w:div>
        <w:div w:id="1455636417">
          <w:marLeft w:val="0"/>
          <w:marRight w:val="0"/>
          <w:marTop w:val="0"/>
          <w:marBottom w:val="0"/>
          <w:divBdr>
            <w:top w:val="none" w:sz="0" w:space="0" w:color="auto"/>
            <w:left w:val="none" w:sz="0" w:space="0" w:color="auto"/>
            <w:bottom w:val="none" w:sz="0" w:space="0" w:color="auto"/>
            <w:right w:val="none" w:sz="0" w:space="0" w:color="auto"/>
          </w:divBdr>
        </w:div>
        <w:div w:id="1840003726">
          <w:marLeft w:val="0"/>
          <w:marRight w:val="0"/>
          <w:marTop w:val="0"/>
          <w:marBottom w:val="0"/>
          <w:divBdr>
            <w:top w:val="none" w:sz="0" w:space="0" w:color="auto"/>
            <w:left w:val="none" w:sz="0" w:space="0" w:color="auto"/>
            <w:bottom w:val="none" w:sz="0" w:space="0" w:color="auto"/>
            <w:right w:val="none" w:sz="0" w:space="0" w:color="auto"/>
          </w:divBdr>
        </w:div>
        <w:div w:id="1981761507">
          <w:marLeft w:val="0"/>
          <w:marRight w:val="0"/>
          <w:marTop w:val="0"/>
          <w:marBottom w:val="0"/>
          <w:divBdr>
            <w:top w:val="none" w:sz="0" w:space="0" w:color="auto"/>
            <w:left w:val="none" w:sz="0" w:space="0" w:color="auto"/>
            <w:bottom w:val="none" w:sz="0" w:space="0" w:color="auto"/>
            <w:right w:val="none" w:sz="0" w:space="0" w:color="auto"/>
          </w:divBdr>
        </w:div>
        <w:div w:id="1699551078">
          <w:marLeft w:val="0"/>
          <w:marRight w:val="0"/>
          <w:marTop w:val="0"/>
          <w:marBottom w:val="0"/>
          <w:divBdr>
            <w:top w:val="none" w:sz="0" w:space="0" w:color="auto"/>
            <w:left w:val="none" w:sz="0" w:space="0" w:color="auto"/>
            <w:bottom w:val="none" w:sz="0" w:space="0" w:color="auto"/>
            <w:right w:val="none" w:sz="0" w:space="0" w:color="auto"/>
          </w:divBdr>
        </w:div>
        <w:div w:id="817579469">
          <w:marLeft w:val="0"/>
          <w:marRight w:val="0"/>
          <w:marTop w:val="0"/>
          <w:marBottom w:val="0"/>
          <w:divBdr>
            <w:top w:val="none" w:sz="0" w:space="0" w:color="auto"/>
            <w:left w:val="none" w:sz="0" w:space="0" w:color="auto"/>
            <w:bottom w:val="none" w:sz="0" w:space="0" w:color="auto"/>
            <w:right w:val="none" w:sz="0" w:space="0" w:color="auto"/>
          </w:divBdr>
        </w:div>
        <w:div w:id="1943419745">
          <w:marLeft w:val="0"/>
          <w:marRight w:val="0"/>
          <w:marTop w:val="0"/>
          <w:marBottom w:val="0"/>
          <w:divBdr>
            <w:top w:val="none" w:sz="0" w:space="0" w:color="auto"/>
            <w:left w:val="none" w:sz="0" w:space="0" w:color="auto"/>
            <w:bottom w:val="none" w:sz="0" w:space="0" w:color="auto"/>
            <w:right w:val="none" w:sz="0" w:space="0" w:color="auto"/>
          </w:divBdr>
        </w:div>
        <w:div w:id="156651660">
          <w:marLeft w:val="0"/>
          <w:marRight w:val="0"/>
          <w:marTop w:val="0"/>
          <w:marBottom w:val="0"/>
          <w:divBdr>
            <w:top w:val="none" w:sz="0" w:space="0" w:color="auto"/>
            <w:left w:val="none" w:sz="0" w:space="0" w:color="auto"/>
            <w:bottom w:val="none" w:sz="0" w:space="0" w:color="auto"/>
            <w:right w:val="none" w:sz="0" w:space="0" w:color="auto"/>
          </w:divBdr>
        </w:div>
        <w:div w:id="541140562">
          <w:marLeft w:val="0"/>
          <w:marRight w:val="0"/>
          <w:marTop w:val="0"/>
          <w:marBottom w:val="0"/>
          <w:divBdr>
            <w:top w:val="none" w:sz="0" w:space="0" w:color="auto"/>
            <w:left w:val="none" w:sz="0" w:space="0" w:color="auto"/>
            <w:bottom w:val="none" w:sz="0" w:space="0" w:color="auto"/>
            <w:right w:val="none" w:sz="0" w:space="0" w:color="auto"/>
          </w:divBdr>
        </w:div>
        <w:div w:id="563368582">
          <w:marLeft w:val="0"/>
          <w:marRight w:val="0"/>
          <w:marTop w:val="0"/>
          <w:marBottom w:val="0"/>
          <w:divBdr>
            <w:top w:val="none" w:sz="0" w:space="0" w:color="auto"/>
            <w:left w:val="none" w:sz="0" w:space="0" w:color="auto"/>
            <w:bottom w:val="none" w:sz="0" w:space="0" w:color="auto"/>
            <w:right w:val="none" w:sz="0" w:space="0" w:color="auto"/>
          </w:divBdr>
        </w:div>
        <w:div w:id="1858500896">
          <w:marLeft w:val="0"/>
          <w:marRight w:val="0"/>
          <w:marTop w:val="0"/>
          <w:marBottom w:val="0"/>
          <w:divBdr>
            <w:top w:val="none" w:sz="0" w:space="0" w:color="auto"/>
            <w:left w:val="none" w:sz="0" w:space="0" w:color="auto"/>
            <w:bottom w:val="none" w:sz="0" w:space="0" w:color="auto"/>
            <w:right w:val="none" w:sz="0" w:space="0" w:color="auto"/>
          </w:divBdr>
        </w:div>
        <w:div w:id="1907257079">
          <w:marLeft w:val="0"/>
          <w:marRight w:val="0"/>
          <w:marTop w:val="0"/>
          <w:marBottom w:val="0"/>
          <w:divBdr>
            <w:top w:val="none" w:sz="0" w:space="0" w:color="auto"/>
            <w:left w:val="none" w:sz="0" w:space="0" w:color="auto"/>
            <w:bottom w:val="none" w:sz="0" w:space="0" w:color="auto"/>
            <w:right w:val="none" w:sz="0" w:space="0" w:color="auto"/>
          </w:divBdr>
        </w:div>
        <w:div w:id="834758838">
          <w:marLeft w:val="0"/>
          <w:marRight w:val="0"/>
          <w:marTop w:val="0"/>
          <w:marBottom w:val="0"/>
          <w:divBdr>
            <w:top w:val="none" w:sz="0" w:space="0" w:color="auto"/>
            <w:left w:val="none" w:sz="0" w:space="0" w:color="auto"/>
            <w:bottom w:val="none" w:sz="0" w:space="0" w:color="auto"/>
            <w:right w:val="none" w:sz="0" w:space="0" w:color="auto"/>
          </w:divBdr>
        </w:div>
        <w:div w:id="678771523">
          <w:marLeft w:val="0"/>
          <w:marRight w:val="0"/>
          <w:marTop w:val="0"/>
          <w:marBottom w:val="0"/>
          <w:divBdr>
            <w:top w:val="none" w:sz="0" w:space="0" w:color="auto"/>
            <w:left w:val="none" w:sz="0" w:space="0" w:color="auto"/>
            <w:bottom w:val="none" w:sz="0" w:space="0" w:color="auto"/>
            <w:right w:val="none" w:sz="0" w:space="0" w:color="auto"/>
          </w:divBdr>
        </w:div>
        <w:div w:id="446580759">
          <w:marLeft w:val="0"/>
          <w:marRight w:val="0"/>
          <w:marTop w:val="0"/>
          <w:marBottom w:val="0"/>
          <w:divBdr>
            <w:top w:val="none" w:sz="0" w:space="0" w:color="auto"/>
            <w:left w:val="none" w:sz="0" w:space="0" w:color="auto"/>
            <w:bottom w:val="none" w:sz="0" w:space="0" w:color="auto"/>
            <w:right w:val="none" w:sz="0" w:space="0" w:color="auto"/>
          </w:divBdr>
        </w:div>
      </w:divsChild>
    </w:div>
    <w:div w:id="676812928">
      <w:bodyDiv w:val="1"/>
      <w:marLeft w:val="0"/>
      <w:marRight w:val="0"/>
      <w:marTop w:val="0"/>
      <w:marBottom w:val="0"/>
      <w:divBdr>
        <w:top w:val="none" w:sz="0" w:space="0" w:color="auto"/>
        <w:left w:val="none" w:sz="0" w:space="0" w:color="auto"/>
        <w:bottom w:val="none" w:sz="0" w:space="0" w:color="auto"/>
        <w:right w:val="none" w:sz="0" w:space="0" w:color="auto"/>
      </w:divBdr>
    </w:div>
    <w:div w:id="722212121">
      <w:bodyDiv w:val="1"/>
      <w:marLeft w:val="0"/>
      <w:marRight w:val="0"/>
      <w:marTop w:val="0"/>
      <w:marBottom w:val="0"/>
      <w:divBdr>
        <w:top w:val="none" w:sz="0" w:space="0" w:color="auto"/>
        <w:left w:val="none" w:sz="0" w:space="0" w:color="auto"/>
        <w:bottom w:val="none" w:sz="0" w:space="0" w:color="auto"/>
        <w:right w:val="none" w:sz="0" w:space="0" w:color="auto"/>
      </w:divBdr>
      <w:divsChild>
        <w:div w:id="1560483737">
          <w:marLeft w:val="0"/>
          <w:marRight w:val="0"/>
          <w:marTop w:val="0"/>
          <w:marBottom w:val="0"/>
          <w:divBdr>
            <w:top w:val="none" w:sz="0" w:space="0" w:color="auto"/>
            <w:left w:val="none" w:sz="0" w:space="0" w:color="auto"/>
            <w:bottom w:val="none" w:sz="0" w:space="0" w:color="auto"/>
            <w:right w:val="none" w:sz="0" w:space="0" w:color="auto"/>
          </w:divBdr>
        </w:div>
        <w:div w:id="1845512422">
          <w:marLeft w:val="0"/>
          <w:marRight w:val="0"/>
          <w:marTop w:val="0"/>
          <w:marBottom w:val="0"/>
          <w:divBdr>
            <w:top w:val="none" w:sz="0" w:space="0" w:color="auto"/>
            <w:left w:val="none" w:sz="0" w:space="0" w:color="auto"/>
            <w:bottom w:val="none" w:sz="0" w:space="0" w:color="auto"/>
            <w:right w:val="none" w:sz="0" w:space="0" w:color="auto"/>
          </w:divBdr>
          <w:divsChild>
            <w:div w:id="417022803">
              <w:marLeft w:val="0"/>
              <w:marRight w:val="0"/>
              <w:marTop w:val="0"/>
              <w:marBottom w:val="0"/>
              <w:divBdr>
                <w:top w:val="none" w:sz="0" w:space="0" w:color="auto"/>
                <w:left w:val="none" w:sz="0" w:space="0" w:color="auto"/>
                <w:bottom w:val="none" w:sz="0" w:space="0" w:color="auto"/>
                <w:right w:val="none" w:sz="0" w:space="0" w:color="auto"/>
              </w:divBdr>
              <w:divsChild>
                <w:div w:id="1464157236">
                  <w:marLeft w:val="0"/>
                  <w:marRight w:val="0"/>
                  <w:marTop w:val="0"/>
                  <w:marBottom w:val="0"/>
                  <w:divBdr>
                    <w:top w:val="none" w:sz="0" w:space="0" w:color="auto"/>
                    <w:left w:val="none" w:sz="0" w:space="0" w:color="auto"/>
                    <w:bottom w:val="none" w:sz="0" w:space="0" w:color="auto"/>
                    <w:right w:val="none" w:sz="0" w:space="0" w:color="auto"/>
                  </w:divBdr>
                  <w:divsChild>
                    <w:div w:id="3716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061640">
      <w:bodyDiv w:val="1"/>
      <w:marLeft w:val="0"/>
      <w:marRight w:val="0"/>
      <w:marTop w:val="0"/>
      <w:marBottom w:val="0"/>
      <w:divBdr>
        <w:top w:val="none" w:sz="0" w:space="0" w:color="auto"/>
        <w:left w:val="none" w:sz="0" w:space="0" w:color="auto"/>
        <w:bottom w:val="none" w:sz="0" w:space="0" w:color="auto"/>
        <w:right w:val="none" w:sz="0" w:space="0" w:color="auto"/>
      </w:divBdr>
    </w:div>
    <w:div w:id="750589087">
      <w:bodyDiv w:val="1"/>
      <w:marLeft w:val="0"/>
      <w:marRight w:val="0"/>
      <w:marTop w:val="0"/>
      <w:marBottom w:val="0"/>
      <w:divBdr>
        <w:top w:val="none" w:sz="0" w:space="0" w:color="auto"/>
        <w:left w:val="none" w:sz="0" w:space="0" w:color="auto"/>
        <w:bottom w:val="none" w:sz="0" w:space="0" w:color="auto"/>
        <w:right w:val="none" w:sz="0" w:space="0" w:color="auto"/>
      </w:divBdr>
      <w:divsChild>
        <w:div w:id="1307928167">
          <w:marLeft w:val="0"/>
          <w:marRight w:val="0"/>
          <w:marTop w:val="0"/>
          <w:marBottom w:val="0"/>
          <w:divBdr>
            <w:top w:val="none" w:sz="0" w:space="0" w:color="auto"/>
            <w:left w:val="none" w:sz="0" w:space="0" w:color="auto"/>
            <w:bottom w:val="none" w:sz="0" w:space="0" w:color="auto"/>
            <w:right w:val="none" w:sz="0" w:space="0" w:color="auto"/>
          </w:divBdr>
        </w:div>
        <w:div w:id="1930919309">
          <w:marLeft w:val="0"/>
          <w:marRight w:val="0"/>
          <w:marTop w:val="0"/>
          <w:marBottom w:val="0"/>
          <w:divBdr>
            <w:top w:val="none" w:sz="0" w:space="0" w:color="auto"/>
            <w:left w:val="none" w:sz="0" w:space="0" w:color="auto"/>
            <w:bottom w:val="none" w:sz="0" w:space="0" w:color="auto"/>
            <w:right w:val="none" w:sz="0" w:space="0" w:color="auto"/>
          </w:divBdr>
          <w:divsChild>
            <w:div w:id="398329169">
              <w:marLeft w:val="0"/>
              <w:marRight w:val="0"/>
              <w:marTop w:val="0"/>
              <w:marBottom w:val="0"/>
              <w:divBdr>
                <w:top w:val="none" w:sz="0" w:space="0" w:color="auto"/>
                <w:left w:val="none" w:sz="0" w:space="0" w:color="auto"/>
                <w:bottom w:val="none" w:sz="0" w:space="0" w:color="auto"/>
                <w:right w:val="none" w:sz="0" w:space="0" w:color="auto"/>
              </w:divBdr>
              <w:divsChild>
                <w:div w:id="1637560888">
                  <w:marLeft w:val="0"/>
                  <w:marRight w:val="0"/>
                  <w:marTop w:val="0"/>
                  <w:marBottom w:val="0"/>
                  <w:divBdr>
                    <w:top w:val="none" w:sz="0" w:space="0" w:color="auto"/>
                    <w:left w:val="none" w:sz="0" w:space="0" w:color="auto"/>
                    <w:bottom w:val="none" w:sz="0" w:space="0" w:color="auto"/>
                    <w:right w:val="none" w:sz="0" w:space="0" w:color="auto"/>
                  </w:divBdr>
                  <w:divsChild>
                    <w:div w:id="3461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448402">
      <w:bodyDiv w:val="1"/>
      <w:marLeft w:val="0"/>
      <w:marRight w:val="0"/>
      <w:marTop w:val="0"/>
      <w:marBottom w:val="0"/>
      <w:divBdr>
        <w:top w:val="none" w:sz="0" w:space="0" w:color="auto"/>
        <w:left w:val="none" w:sz="0" w:space="0" w:color="auto"/>
        <w:bottom w:val="none" w:sz="0" w:space="0" w:color="auto"/>
        <w:right w:val="none" w:sz="0" w:space="0" w:color="auto"/>
      </w:divBdr>
    </w:div>
    <w:div w:id="961837367">
      <w:bodyDiv w:val="1"/>
      <w:marLeft w:val="0"/>
      <w:marRight w:val="0"/>
      <w:marTop w:val="0"/>
      <w:marBottom w:val="0"/>
      <w:divBdr>
        <w:top w:val="none" w:sz="0" w:space="0" w:color="auto"/>
        <w:left w:val="none" w:sz="0" w:space="0" w:color="auto"/>
        <w:bottom w:val="none" w:sz="0" w:space="0" w:color="auto"/>
        <w:right w:val="none" w:sz="0" w:space="0" w:color="auto"/>
      </w:divBdr>
      <w:divsChild>
        <w:div w:id="627590146">
          <w:marLeft w:val="0"/>
          <w:marRight w:val="0"/>
          <w:marTop w:val="0"/>
          <w:marBottom w:val="0"/>
          <w:divBdr>
            <w:top w:val="none" w:sz="0" w:space="0" w:color="auto"/>
            <w:left w:val="none" w:sz="0" w:space="0" w:color="auto"/>
            <w:bottom w:val="none" w:sz="0" w:space="0" w:color="auto"/>
            <w:right w:val="none" w:sz="0" w:space="0" w:color="auto"/>
          </w:divBdr>
        </w:div>
        <w:div w:id="246578705">
          <w:marLeft w:val="0"/>
          <w:marRight w:val="0"/>
          <w:marTop w:val="0"/>
          <w:marBottom w:val="0"/>
          <w:divBdr>
            <w:top w:val="none" w:sz="0" w:space="0" w:color="auto"/>
            <w:left w:val="none" w:sz="0" w:space="0" w:color="auto"/>
            <w:bottom w:val="none" w:sz="0" w:space="0" w:color="auto"/>
            <w:right w:val="none" w:sz="0" w:space="0" w:color="auto"/>
          </w:divBdr>
        </w:div>
        <w:div w:id="769666140">
          <w:marLeft w:val="0"/>
          <w:marRight w:val="0"/>
          <w:marTop w:val="0"/>
          <w:marBottom w:val="0"/>
          <w:divBdr>
            <w:top w:val="none" w:sz="0" w:space="0" w:color="auto"/>
            <w:left w:val="none" w:sz="0" w:space="0" w:color="auto"/>
            <w:bottom w:val="none" w:sz="0" w:space="0" w:color="auto"/>
            <w:right w:val="none" w:sz="0" w:space="0" w:color="auto"/>
          </w:divBdr>
        </w:div>
        <w:div w:id="1398279472">
          <w:marLeft w:val="0"/>
          <w:marRight w:val="0"/>
          <w:marTop w:val="0"/>
          <w:marBottom w:val="0"/>
          <w:divBdr>
            <w:top w:val="none" w:sz="0" w:space="0" w:color="auto"/>
            <w:left w:val="none" w:sz="0" w:space="0" w:color="auto"/>
            <w:bottom w:val="none" w:sz="0" w:space="0" w:color="auto"/>
            <w:right w:val="none" w:sz="0" w:space="0" w:color="auto"/>
          </w:divBdr>
        </w:div>
        <w:div w:id="1972976319">
          <w:marLeft w:val="0"/>
          <w:marRight w:val="0"/>
          <w:marTop w:val="0"/>
          <w:marBottom w:val="0"/>
          <w:divBdr>
            <w:top w:val="none" w:sz="0" w:space="0" w:color="auto"/>
            <w:left w:val="none" w:sz="0" w:space="0" w:color="auto"/>
            <w:bottom w:val="none" w:sz="0" w:space="0" w:color="auto"/>
            <w:right w:val="none" w:sz="0" w:space="0" w:color="auto"/>
          </w:divBdr>
        </w:div>
        <w:div w:id="1042443249">
          <w:marLeft w:val="0"/>
          <w:marRight w:val="0"/>
          <w:marTop w:val="0"/>
          <w:marBottom w:val="0"/>
          <w:divBdr>
            <w:top w:val="none" w:sz="0" w:space="0" w:color="auto"/>
            <w:left w:val="none" w:sz="0" w:space="0" w:color="auto"/>
            <w:bottom w:val="none" w:sz="0" w:space="0" w:color="auto"/>
            <w:right w:val="none" w:sz="0" w:space="0" w:color="auto"/>
          </w:divBdr>
        </w:div>
      </w:divsChild>
    </w:div>
    <w:div w:id="992946395">
      <w:bodyDiv w:val="1"/>
      <w:marLeft w:val="0"/>
      <w:marRight w:val="0"/>
      <w:marTop w:val="0"/>
      <w:marBottom w:val="0"/>
      <w:divBdr>
        <w:top w:val="none" w:sz="0" w:space="0" w:color="auto"/>
        <w:left w:val="none" w:sz="0" w:space="0" w:color="auto"/>
        <w:bottom w:val="none" w:sz="0" w:space="0" w:color="auto"/>
        <w:right w:val="none" w:sz="0" w:space="0" w:color="auto"/>
      </w:divBdr>
    </w:div>
    <w:div w:id="1038512274">
      <w:bodyDiv w:val="1"/>
      <w:marLeft w:val="0"/>
      <w:marRight w:val="0"/>
      <w:marTop w:val="0"/>
      <w:marBottom w:val="0"/>
      <w:divBdr>
        <w:top w:val="none" w:sz="0" w:space="0" w:color="auto"/>
        <w:left w:val="none" w:sz="0" w:space="0" w:color="auto"/>
        <w:bottom w:val="none" w:sz="0" w:space="0" w:color="auto"/>
        <w:right w:val="none" w:sz="0" w:space="0" w:color="auto"/>
      </w:divBdr>
    </w:div>
    <w:div w:id="1225330803">
      <w:bodyDiv w:val="1"/>
      <w:marLeft w:val="0"/>
      <w:marRight w:val="0"/>
      <w:marTop w:val="0"/>
      <w:marBottom w:val="0"/>
      <w:divBdr>
        <w:top w:val="none" w:sz="0" w:space="0" w:color="auto"/>
        <w:left w:val="none" w:sz="0" w:space="0" w:color="auto"/>
        <w:bottom w:val="none" w:sz="0" w:space="0" w:color="auto"/>
        <w:right w:val="none" w:sz="0" w:space="0" w:color="auto"/>
      </w:divBdr>
      <w:divsChild>
        <w:div w:id="511535666">
          <w:marLeft w:val="0"/>
          <w:marRight w:val="0"/>
          <w:marTop w:val="0"/>
          <w:marBottom w:val="0"/>
          <w:divBdr>
            <w:top w:val="none" w:sz="0" w:space="0" w:color="auto"/>
            <w:left w:val="none" w:sz="0" w:space="0" w:color="auto"/>
            <w:bottom w:val="none" w:sz="0" w:space="0" w:color="auto"/>
            <w:right w:val="none" w:sz="0" w:space="0" w:color="auto"/>
          </w:divBdr>
        </w:div>
        <w:div w:id="806751141">
          <w:marLeft w:val="0"/>
          <w:marRight w:val="0"/>
          <w:marTop w:val="0"/>
          <w:marBottom w:val="0"/>
          <w:divBdr>
            <w:top w:val="none" w:sz="0" w:space="0" w:color="auto"/>
            <w:left w:val="none" w:sz="0" w:space="0" w:color="auto"/>
            <w:bottom w:val="none" w:sz="0" w:space="0" w:color="auto"/>
            <w:right w:val="none" w:sz="0" w:space="0" w:color="auto"/>
          </w:divBdr>
          <w:divsChild>
            <w:div w:id="1111433176">
              <w:marLeft w:val="0"/>
              <w:marRight w:val="0"/>
              <w:marTop w:val="0"/>
              <w:marBottom w:val="0"/>
              <w:divBdr>
                <w:top w:val="none" w:sz="0" w:space="0" w:color="auto"/>
                <w:left w:val="none" w:sz="0" w:space="0" w:color="auto"/>
                <w:bottom w:val="none" w:sz="0" w:space="0" w:color="auto"/>
                <w:right w:val="none" w:sz="0" w:space="0" w:color="auto"/>
              </w:divBdr>
              <w:divsChild>
                <w:div w:id="379792245">
                  <w:marLeft w:val="0"/>
                  <w:marRight w:val="0"/>
                  <w:marTop w:val="0"/>
                  <w:marBottom w:val="0"/>
                  <w:divBdr>
                    <w:top w:val="none" w:sz="0" w:space="0" w:color="auto"/>
                    <w:left w:val="none" w:sz="0" w:space="0" w:color="auto"/>
                    <w:bottom w:val="none" w:sz="0" w:space="0" w:color="auto"/>
                    <w:right w:val="none" w:sz="0" w:space="0" w:color="auto"/>
                  </w:divBdr>
                  <w:divsChild>
                    <w:div w:id="1255279645">
                      <w:marLeft w:val="0"/>
                      <w:marRight w:val="0"/>
                      <w:marTop w:val="0"/>
                      <w:marBottom w:val="0"/>
                      <w:divBdr>
                        <w:top w:val="none" w:sz="0" w:space="0" w:color="auto"/>
                        <w:left w:val="none" w:sz="0" w:space="0" w:color="auto"/>
                        <w:bottom w:val="none" w:sz="0" w:space="0" w:color="auto"/>
                        <w:right w:val="none" w:sz="0" w:space="0" w:color="auto"/>
                      </w:divBdr>
                      <w:divsChild>
                        <w:div w:id="708921846">
                          <w:marLeft w:val="0"/>
                          <w:marRight w:val="0"/>
                          <w:marTop w:val="0"/>
                          <w:marBottom w:val="0"/>
                          <w:divBdr>
                            <w:top w:val="none" w:sz="0" w:space="0" w:color="auto"/>
                            <w:left w:val="none" w:sz="0" w:space="0" w:color="auto"/>
                            <w:bottom w:val="none" w:sz="0" w:space="0" w:color="auto"/>
                            <w:right w:val="none" w:sz="0" w:space="0" w:color="auto"/>
                          </w:divBdr>
                        </w:div>
                        <w:div w:id="135536720">
                          <w:marLeft w:val="0"/>
                          <w:marRight w:val="0"/>
                          <w:marTop w:val="0"/>
                          <w:marBottom w:val="0"/>
                          <w:divBdr>
                            <w:top w:val="none" w:sz="0" w:space="0" w:color="auto"/>
                            <w:left w:val="none" w:sz="0" w:space="0" w:color="auto"/>
                            <w:bottom w:val="none" w:sz="0" w:space="0" w:color="auto"/>
                            <w:right w:val="none" w:sz="0" w:space="0" w:color="auto"/>
                          </w:divBdr>
                        </w:div>
                        <w:div w:id="714280162">
                          <w:marLeft w:val="0"/>
                          <w:marRight w:val="0"/>
                          <w:marTop w:val="0"/>
                          <w:marBottom w:val="0"/>
                          <w:divBdr>
                            <w:top w:val="none" w:sz="0" w:space="0" w:color="auto"/>
                            <w:left w:val="none" w:sz="0" w:space="0" w:color="auto"/>
                            <w:bottom w:val="none" w:sz="0" w:space="0" w:color="auto"/>
                            <w:right w:val="none" w:sz="0" w:space="0" w:color="auto"/>
                          </w:divBdr>
                        </w:div>
                        <w:div w:id="108665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64826">
      <w:bodyDiv w:val="1"/>
      <w:marLeft w:val="0"/>
      <w:marRight w:val="0"/>
      <w:marTop w:val="0"/>
      <w:marBottom w:val="0"/>
      <w:divBdr>
        <w:top w:val="none" w:sz="0" w:space="0" w:color="auto"/>
        <w:left w:val="none" w:sz="0" w:space="0" w:color="auto"/>
        <w:bottom w:val="none" w:sz="0" w:space="0" w:color="auto"/>
        <w:right w:val="none" w:sz="0" w:space="0" w:color="auto"/>
      </w:divBdr>
    </w:div>
    <w:div w:id="1357728498">
      <w:bodyDiv w:val="1"/>
      <w:marLeft w:val="0"/>
      <w:marRight w:val="0"/>
      <w:marTop w:val="0"/>
      <w:marBottom w:val="0"/>
      <w:divBdr>
        <w:top w:val="none" w:sz="0" w:space="0" w:color="auto"/>
        <w:left w:val="none" w:sz="0" w:space="0" w:color="auto"/>
        <w:bottom w:val="none" w:sz="0" w:space="0" w:color="auto"/>
        <w:right w:val="none" w:sz="0" w:space="0" w:color="auto"/>
      </w:divBdr>
    </w:div>
    <w:div w:id="1369141261">
      <w:bodyDiv w:val="1"/>
      <w:marLeft w:val="0"/>
      <w:marRight w:val="0"/>
      <w:marTop w:val="0"/>
      <w:marBottom w:val="0"/>
      <w:divBdr>
        <w:top w:val="none" w:sz="0" w:space="0" w:color="auto"/>
        <w:left w:val="none" w:sz="0" w:space="0" w:color="auto"/>
        <w:bottom w:val="none" w:sz="0" w:space="0" w:color="auto"/>
        <w:right w:val="none" w:sz="0" w:space="0" w:color="auto"/>
      </w:divBdr>
      <w:divsChild>
        <w:div w:id="1649820965">
          <w:marLeft w:val="0"/>
          <w:marRight w:val="0"/>
          <w:marTop w:val="0"/>
          <w:marBottom w:val="0"/>
          <w:divBdr>
            <w:top w:val="none" w:sz="0" w:space="0" w:color="auto"/>
            <w:left w:val="none" w:sz="0" w:space="0" w:color="auto"/>
            <w:bottom w:val="none" w:sz="0" w:space="0" w:color="auto"/>
            <w:right w:val="none" w:sz="0" w:space="0" w:color="auto"/>
          </w:divBdr>
        </w:div>
        <w:div w:id="842207298">
          <w:marLeft w:val="0"/>
          <w:marRight w:val="0"/>
          <w:marTop w:val="0"/>
          <w:marBottom w:val="0"/>
          <w:divBdr>
            <w:top w:val="none" w:sz="0" w:space="0" w:color="auto"/>
            <w:left w:val="none" w:sz="0" w:space="0" w:color="auto"/>
            <w:bottom w:val="none" w:sz="0" w:space="0" w:color="auto"/>
            <w:right w:val="none" w:sz="0" w:space="0" w:color="auto"/>
          </w:divBdr>
          <w:divsChild>
            <w:div w:id="536746811">
              <w:marLeft w:val="0"/>
              <w:marRight w:val="0"/>
              <w:marTop w:val="0"/>
              <w:marBottom w:val="0"/>
              <w:divBdr>
                <w:top w:val="none" w:sz="0" w:space="0" w:color="auto"/>
                <w:left w:val="none" w:sz="0" w:space="0" w:color="auto"/>
                <w:bottom w:val="none" w:sz="0" w:space="0" w:color="auto"/>
                <w:right w:val="none" w:sz="0" w:space="0" w:color="auto"/>
              </w:divBdr>
              <w:divsChild>
                <w:div w:id="665476403">
                  <w:marLeft w:val="0"/>
                  <w:marRight w:val="0"/>
                  <w:marTop w:val="0"/>
                  <w:marBottom w:val="0"/>
                  <w:divBdr>
                    <w:top w:val="none" w:sz="0" w:space="0" w:color="auto"/>
                    <w:left w:val="none" w:sz="0" w:space="0" w:color="auto"/>
                    <w:bottom w:val="none" w:sz="0" w:space="0" w:color="auto"/>
                    <w:right w:val="none" w:sz="0" w:space="0" w:color="auto"/>
                  </w:divBdr>
                  <w:divsChild>
                    <w:div w:id="123751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10384">
      <w:bodyDiv w:val="1"/>
      <w:marLeft w:val="0"/>
      <w:marRight w:val="0"/>
      <w:marTop w:val="0"/>
      <w:marBottom w:val="0"/>
      <w:divBdr>
        <w:top w:val="none" w:sz="0" w:space="0" w:color="auto"/>
        <w:left w:val="none" w:sz="0" w:space="0" w:color="auto"/>
        <w:bottom w:val="none" w:sz="0" w:space="0" w:color="auto"/>
        <w:right w:val="none" w:sz="0" w:space="0" w:color="auto"/>
      </w:divBdr>
    </w:div>
    <w:div w:id="1422683851">
      <w:bodyDiv w:val="1"/>
      <w:marLeft w:val="0"/>
      <w:marRight w:val="0"/>
      <w:marTop w:val="0"/>
      <w:marBottom w:val="0"/>
      <w:divBdr>
        <w:top w:val="none" w:sz="0" w:space="0" w:color="auto"/>
        <w:left w:val="none" w:sz="0" w:space="0" w:color="auto"/>
        <w:bottom w:val="none" w:sz="0" w:space="0" w:color="auto"/>
        <w:right w:val="none" w:sz="0" w:space="0" w:color="auto"/>
      </w:divBdr>
    </w:div>
    <w:div w:id="1453524100">
      <w:bodyDiv w:val="1"/>
      <w:marLeft w:val="0"/>
      <w:marRight w:val="0"/>
      <w:marTop w:val="0"/>
      <w:marBottom w:val="0"/>
      <w:divBdr>
        <w:top w:val="none" w:sz="0" w:space="0" w:color="auto"/>
        <w:left w:val="none" w:sz="0" w:space="0" w:color="auto"/>
        <w:bottom w:val="none" w:sz="0" w:space="0" w:color="auto"/>
        <w:right w:val="none" w:sz="0" w:space="0" w:color="auto"/>
      </w:divBdr>
    </w:div>
    <w:div w:id="1491210785">
      <w:bodyDiv w:val="1"/>
      <w:marLeft w:val="0"/>
      <w:marRight w:val="0"/>
      <w:marTop w:val="0"/>
      <w:marBottom w:val="0"/>
      <w:divBdr>
        <w:top w:val="none" w:sz="0" w:space="0" w:color="auto"/>
        <w:left w:val="none" w:sz="0" w:space="0" w:color="auto"/>
        <w:bottom w:val="none" w:sz="0" w:space="0" w:color="auto"/>
        <w:right w:val="none" w:sz="0" w:space="0" w:color="auto"/>
      </w:divBdr>
    </w:div>
    <w:div w:id="1552644459">
      <w:bodyDiv w:val="1"/>
      <w:marLeft w:val="0"/>
      <w:marRight w:val="0"/>
      <w:marTop w:val="0"/>
      <w:marBottom w:val="0"/>
      <w:divBdr>
        <w:top w:val="none" w:sz="0" w:space="0" w:color="auto"/>
        <w:left w:val="none" w:sz="0" w:space="0" w:color="auto"/>
        <w:bottom w:val="none" w:sz="0" w:space="0" w:color="auto"/>
        <w:right w:val="none" w:sz="0" w:space="0" w:color="auto"/>
      </w:divBdr>
    </w:div>
    <w:div w:id="1702510125">
      <w:bodyDiv w:val="1"/>
      <w:marLeft w:val="0"/>
      <w:marRight w:val="0"/>
      <w:marTop w:val="0"/>
      <w:marBottom w:val="0"/>
      <w:divBdr>
        <w:top w:val="none" w:sz="0" w:space="0" w:color="auto"/>
        <w:left w:val="none" w:sz="0" w:space="0" w:color="auto"/>
        <w:bottom w:val="none" w:sz="0" w:space="0" w:color="auto"/>
        <w:right w:val="none" w:sz="0" w:space="0" w:color="auto"/>
      </w:divBdr>
      <w:divsChild>
        <w:div w:id="1821068858">
          <w:marLeft w:val="0"/>
          <w:marRight w:val="0"/>
          <w:marTop w:val="0"/>
          <w:marBottom w:val="0"/>
          <w:divBdr>
            <w:top w:val="none" w:sz="0" w:space="0" w:color="auto"/>
            <w:left w:val="none" w:sz="0" w:space="0" w:color="auto"/>
            <w:bottom w:val="none" w:sz="0" w:space="0" w:color="auto"/>
            <w:right w:val="none" w:sz="0" w:space="0" w:color="auto"/>
          </w:divBdr>
        </w:div>
        <w:div w:id="578953361">
          <w:marLeft w:val="0"/>
          <w:marRight w:val="0"/>
          <w:marTop w:val="0"/>
          <w:marBottom w:val="0"/>
          <w:divBdr>
            <w:top w:val="none" w:sz="0" w:space="0" w:color="auto"/>
            <w:left w:val="none" w:sz="0" w:space="0" w:color="auto"/>
            <w:bottom w:val="none" w:sz="0" w:space="0" w:color="auto"/>
            <w:right w:val="none" w:sz="0" w:space="0" w:color="auto"/>
          </w:divBdr>
          <w:divsChild>
            <w:div w:id="117601856">
              <w:marLeft w:val="0"/>
              <w:marRight w:val="0"/>
              <w:marTop w:val="0"/>
              <w:marBottom w:val="0"/>
              <w:divBdr>
                <w:top w:val="none" w:sz="0" w:space="0" w:color="auto"/>
                <w:left w:val="none" w:sz="0" w:space="0" w:color="auto"/>
                <w:bottom w:val="none" w:sz="0" w:space="0" w:color="auto"/>
                <w:right w:val="none" w:sz="0" w:space="0" w:color="auto"/>
              </w:divBdr>
              <w:divsChild>
                <w:div w:id="912200665">
                  <w:marLeft w:val="0"/>
                  <w:marRight w:val="0"/>
                  <w:marTop w:val="0"/>
                  <w:marBottom w:val="0"/>
                  <w:divBdr>
                    <w:top w:val="none" w:sz="0" w:space="0" w:color="auto"/>
                    <w:left w:val="none" w:sz="0" w:space="0" w:color="auto"/>
                    <w:bottom w:val="none" w:sz="0" w:space="0" w:color="auto"/>
                    <w:right w:val="none" w:sz="0" w:space="0" w:color="auto"/>
                  </w:divBdr>
                  <w:divsChild>
                    <w:div w:id="95482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8858">
      <w:bodyDiv w:val="1"/>
      <w:marLeft w:val="0"/>
      <w:marRight w:val="0"/>
      <w:marTop w:val="0"/>
      <w:marBottom w:val="0"/>
      <w:divBdr>
        <w:top w:val="none" w:sz="0" w:space="0" w:color="auto"/>
        <w:left w:val="none" w:sz="0" w:space="0" w:color="auto"/>
        <w:bottom w:val="none" w:sz="0" w:space="0" w:color="auto"/>
        <w:right w:val="none" w:sz="0" w:space="0" w:color="auto"/>
      </w:divBdr>
      <w:divsChild>
        <w:div w:id="1338969357">
          <w:marLeft w:val="0"/>
          <w:marRight w:val="0"/>
          <w:marTop w:val="0"/>
          <w:marBottom w:val="0"/>
          <w:divBdr>
            <w:top w:val="none" w:sz="0" w:space="0" w:color="auto"/>
            <w:left w:val="none" w:sz="0" w:space="0" w:color="auto"/>
            <w:bottom w:val="none" w:sz="0" w:space="0" w:color="auto"/>
            <w:right w:val="none" w:sz="0" w:space="0" w:color="auto"/>
          </w:divBdr>
        </w:div>
        <w:div w:id="648024928">
          <w:marLeft w:val="0"/>
          <w:marRight w:val="0"/>
          <w:marTop w:val="0"/>
          <w:marBottom w:val="0"/>
          <w:divBdr>
            <w:top w:val="none" w:sz="0" w:space="0" w:color="auto"/>
            <w:left w:val="none" w:sz="0" w:space="0" w:color="auto"/>
            <w:bottom w:val="none" w:sz="0" w:space="0" w:color="auto"/>
            <w:right w:val="none" w:sz="0" w:space="0" w:color="auto"/>
          </w:divBdr>
        </w:div>
        <w:div w:id="918759479">
          <w:marLeft w:val="0"/>
          <w:marRight w:val="0"/>
          <w:marTop w:val="0"/>
          <w:marBottom w:val="0"/>
          <w:divBdr>
            <w:top w:val="none" w:sz="0" w:space="0" w:color="auto"/>
            <w:left w:val="none" w:sz="0" w:space="0" w:color="auto"/>
            <w:bottom w:val="none" w:sz="0" w:space="0" w:color="auto"/>
            <w:right w:val="none" w:sz="0" w:space="0" w:color="auto"/>
          </w:divBdr>
        </w:div>
        <w:div w:id="1319385669">
          <w:marLeft w:val="0"/>
          <w:marRight w:val="0"/>
          <w:marTop w:val="0"/>
          <w:marBottom w:val="0"/>
          <w:divBdr>
            <w:top w:val="none" w:sz="0" w:space="0" w:color="auto"/>
            <w:left w:val="none" w:sz="0" w:space="0" w:color="auto"/>
            <w:bottom w:val="none" w:sz="0" w:space="0" w:color="auto"/>
            <w:right w:val="none" w:sz="0" w:space="0" w:color="auto"/>
          </w:divBdr>
        </w:div>
        <w:div w:id="2014070988">
          <w:marLeft w:val="0"/>
          <w:marRight w:val="0"/>
          <w:marTop w:val="0"/>
          <w:marBottom w:val="0"/>
          <w:divBdr>
            <w:top w:val="none" w:sz="0" w:space="0" w:color="auto"/>
            <w:left w:val="none" w:sz="0" w:space="0" w:color="auto"/>
            <w:bottom w:val="none" w:sz="0" w:space="0" w:color="auto"/>
            <w:right w:val="none" w:sz="0" w:space="0" w:color="auto"/>
          </w:divBdr>
        </w:div>
        <w:div w:id="1355769426">
          <w:marLeft w:val="0"/>
          <w:marRight w:val="0"/>
          <w:marTop w:val="0"/>
          <w:marBottom w:val="0"/>
          <w:divBdr>
            <w:top w:val="none" w:sz="0" w:space="0" w:color="auto"/>
            <w:left w:val="none" w:sz="0" w:space="0" w:color="auto"/>
            <w:bottom w:val="none" w:sz="0" w:space="0" w:color="auto"/>
            <w:right w:val="none" w:sz="0" w:space="0" w:color="auto"/>
          </w:divBdr>
        </w:div>
        <w:div w:id="1887403520">
          <w:marLeft w:val="0"/>
          <w:marRight w:val="0"/>
          <w:marTop w:val="0"/>
          <w:marBottom w:val="0"/>
          <w:divBdr>
            <w:top w:val="none" w:sz="0" w:space="0" w:color="auto"/>
            <w:left w:val="none" w:sz="0" w:space="0" w:color="auto"/>
            <w:bottom w:val="none" w:sz="0" w:space="0" w:color="auto"/>
            <w:right w:val="none" w:sz="0" w:space="0" w:color="auto"/>
          </w:divBdr>
        </w:div>
        <w:div w:id="1650012810">
          <w:marLeft w:val="0"/>
          <w:marRight w:val="0"/>
          <w:marTop w:val="0"/>
          <w:marBottom w:val="0"/>
          <w:divBdr>
            <w:top w:val="none" w:sz="0" w:space="0" w:color="auto"/>
            <w:left w:val="none" w:sz="0" w:space="0" w:color="auto"/>
            <w:bottom w:val="none" w:sz="0" w:space="0" w:color="auto"/>
            <w:right w:val="none" w:sz="0" w:space="0" w:color="auto"/>
          </w:divBdr>
        </w:div>
        <w:div w:id="2138988631">
          <w:marLeft w:val="0"/>
          <w:marRight w:val="0"/>
          <w:marTop w:val="0"/>
          <w:marBottom w:val="0"/>
          <w:divBdr>
            <w:top w:val="none" w:sz="0" w:space="0" w:color="auto"/>
            <w:left w:val="none" w:sz="0" w:space="0" w:color="auto"/>
            <w:bottom w:val="none" w:sz="0" w:space="0" w:color="auto"/>
            <w:right w:val="none" w:sz="0" w:space="0" w:color="auto"/>
          </w:divBdr>
        </w:div>
        <w:div w:id="544024246">
          <w:marLeft w:val="0"/>
          <w:marRight w:val="0"/>
          <w:marTop w:val="0"/>
          <w:marBottom w:val="0"/>
          <w:divBdr>
            <w:top w:val="none" w:sz="0" w:space="0" w:color="auto"/>
            <w:left w:val="none" w:sz="0" w:space="0" w:color="auto"/>
            <w:bottom w:val="none" w:sz="0" w:space="0" w:color="auto"/>
            <w:right w:val="none" w:sz="0" w:space="0" w:color="auto"/>
          </w:divBdr>
        </w:div>
        <w:div w:id="643043678">
          <w:marLeft w:val="0"/>
          <w:marRight w:val="0"/>
          <w:marTop w:val="0"/>
          <w:marBottom w:val="0"/>
          <w:divBdr>
            <w:top w:val="none" w:sz="0" w:space="0" w:color="auto"/>
            <w:left w:val="none" w:sz="0" w:space="0" w:color="auto"/>
            <w:bottom w:val="none" w:sz="0" w:space="0" w:color="auto"/>
            <w:right w:val="none" w:sz="0" w:space="0" w:color="auto"/>
          </w:divBdr>
        </w:div>
        <w:div w:id="1412658811">
          <w:marLeft w:val="0"/>
          <w:marRight w:val="0"/>
          <w:marTop w:val="0"/>
          <w:marBottom w:val="0"/>
          <w:divBdr>
            <w:top w:val="none" w:sz="0" w:space="0" w:color="auto"/>
            <w:left w:val="none" w:sz="0" w:space="0" w:color="auto"/>
            <w:bottom w:val="none" w:sz="0" w:space="0" w:color="auto"/>
            <w:right w:val="none" w:sz="0" w:space="0" w:color="auto"/>
          </w:divBdr>
        </w:div>
        <w:div w:id="2139759781">
          <w:marLeft w:val="0"/>
          <w:marRight w:val="0"/>
          <w:marTop w:val="0"/>
          <w:marBottom w:val="0"/>
          <w:divBdr>
            <w:top w:val="none" w:sz="0" w:space="0" w:color="auto"/>
            <w:left w:val="none" w:sz="0" w:space="0" w:color="auto"/>
            <w:bottom w:val="none" w:sz="0" w:space="0" w:color="auto"/>
            <w:right w:val="none" w:sz="0" w:space="0" w:color="auto"/>
          </w:divBdr>
        </w:div>
        <w:div w:id="1347946626">
          <w:marLeft w:val="0"/>
          <w:marRight w:val="0"/>
          <w:marTop w:val="0"/>
          <w:marBottom w:val="0"/>
          <w:divBdr>
            <w:top w:val="none" w:sz="0" w:space="0" w:color="auto"/>
            <w:left w:val="none" w:sz="0" w:space="0" w:color="auto"/>
            <w:bottom w:val="none" w:sz="0" w:space="0" w:color="auto"/>
            <w:right w:val="none" w:sz="0" w:space="0" w:color="auto"/>
          </w:divBdr>
        </w:div>
        <w:div w:id="1537307651">
          <w:marLeft w:val="0"/>
          <w:marRight w:val="0"/>
          <w:marTop w:val="0"/>
          <w:marBottom w:val="0"/>
          <w:divBdr>
            <w:top w:val="none" w:sz="0" w:space="0" w:color="auto"/>
            <w:left w:val="none" w:sz="0" w:space="0" w:color="auto"/>
            <w:bottom w:val="none" w:sz="0" w:space="0" w:color="auto"/>
            <w:right w:val="none" w:sz="0" w:space="0" w:color="auto"/>
          </w:divBdr>
        </w:div>
        <w:div w:id="1211527624">
          <w:marLeft w:val="0"/>
          <w:marRight w:val="0"/>
          <w:marTop w:val="0"/>
          <w:marBottom w:val="0"/>
          <w:divBdr>
            <w:top w:val="none" w:sz="0" w:space="0" w:color="auto"/>
            <w:left w:val="none" w:sz="0" w:space="0" w:color="auto"/>
            <w:bottom w:val="none" w:sz="0" w:space="0" w:color="auto"/>
            <w:right w:val="none" w:sz="0" w:space="0" w:color="auto"/>
          </w:divBdr>
        </w:div>
        <w:div w:id="998968381">
          <w:marLeft w:val="0"/>
          <w:marRight w:val="0"/>
          <w:marTop w:val="0"/>
          <w:marBottom w:val="0"/>
          <w:divBdr>
            <w:top w:val="none" w:sz="0" w:space="0" w:color="auto"/>
            <w:left w:val="none" w:sz="0" w:space="0" w:color="auto"/>
            <w:bottom w:val="none" w:sz="0" w:space="0" w:color="auto"/>
            <w:right w:val="none" w:sz="0" w:space="0" w:color="auto"/>
          </w:divBdr>
        </w:div>
        <w:div w:id="517235246">
          <w:marLeft w:val="0"/>
          <w:marRight w:val="0"/>
          <w:marTop w:val="0"/>
          <w:marBottom w:val="0"/>
          <w:divBdr>
            <w:top w:val="none" w:sz="0" w:space="0" w:color="auto"/>
            <w:left w:val="none" w:sz="0" w:space="0" w:color="auto"/>
            <w:bottom w:val="none" w:sz="0" w:space="0" w:color="auto"/>
            <w:right w:val="none" w:sz="0" w:space="0" w:color="auto"/>
          </w:divBdr>
        </w:div>
        <w:div w:id="400908908">
          <w:marLeft w:val="0"/>
          <w:marRight w:val="0"/>
          <w:marTop w:val="0"/>
          <w:marBottom w:val="0"/>
          <w:divBdr>
            <w:top w:val="none" w:sz="0" w:space="0" w:color="auto"/>
            <w:left w:val="none" w:sz="0" w:space="0" w:color="auto"/>
            <w:bottom w:val="none" w:sz="0" w:space="0" w:color="auto"/>
            <w:right w:val="none" w:sz="0" w:space="0" w:color="auto"/>
          </w:divBdr>
        </w:div>
      </w:divsChild>
    </w:div>
    <w:div w:id="1736394854">
      <w:bodyDiv w:val="1"/>
      <w:marLeft w:val="0"/>
      <w:marRight w:val="0"/>
      <w:marTop w:val="0"/>
      <w:marBottom w:val="0"/>
      <w:divBdr>
        <w:top w:val="none" w:sz="0" w:space="0" w:color="auto"/>
        <w:left w:val="none" w:sz="0" w:space="0" w:color="auto"/>
        <w:bottom w:val="none" w:sz="0" w:space="0" w:color="auto"/>
        <w:right w:val="none" w:sz="0" w:space="0" w:color="auto"/>
      </w:divBdr>
      <w:divsChild>
        <w:div w:id="734551460">
          <w:marLeft w:val="0"/>
          <w:marRight w:val="0"/>
          <w:marTop w:val="0"/>
          <w:marBottom w:val="0"/>
          <w:divBdr>
            <w:top w:val="none" w:sz="0" w:space="0" w:color="auto"/>
            <w:left w:val="none" w:sz="0" w:space="0" w:color="auto"/>
            <w:bottom w:val="none" w:sz="0" w:space="0" w:color="auto"/>
            <w:right w:val="none" w:sz="0" w:space="0" w:color="auto"/>
          </w:divBdr>
          <w:divsChild>
            <w:div w:id="1518038370">
              <w:marLeft w:val="0"/>
              <w:marRight w:val="0"/>
              <w:marTop w:val="0"/>
              <w:marBottom w:val="0"/>
              <w:divBdr>
                <w:top w:val="none" w:sz="0" w:space="0" w:color="auto"/>
                <w:left w:val="none" w:sz="0" w:space="0" w:color="auto"/>
                <w:bottom w:val="none" w:sz="0" w:space="0" w:color="auto"/>
                <w:right w:val="none" w:sz="0" w:space="0" w:color="auto"/>
              </w:divBdr>
              <w:divsChild>
                <w:div w:id="824513079">
                  <w:blockQuote w:val="1"/>
                  <w:marLeft w:val="0"/>
                  <w:marRight w:val="0"/>
                  <w:marTop w:val="0"/>
                  <w:marBottom w:val="0"/>
                  <w:divBdr>
                    <w:top w:val="none" w:sz="0" w:space="0" w:color="auto"/>
                    <w:left w:val="none" w:sz="0" w:space="0" w:color="auto"/>
                    <w:bottom w:val="none" w:sz="0" w:space="0" w:color="auto"/>
                    <w:right w:val="none" w:sz="0" w:space="0" w:color="auto"/>
                  </w:divBdr>
                  <w:divsChild>
                    <w:div w:id="1248423798">
                      <w:blockQuote w:val="1"/>
                      <w:marLeft w:val="0"/>
                      <w:marRight w:val="0"/>
                      <w:marTop w:val="0"/>
                      <w:marBottom w:val="0"/>
                      <w:divBdr>
                        <w:top w:val="none" w:sz="0" w:space="0" w:color="auto"/>
                        <w:left w:val="none" w:sz="0" w:space="0" w:color="auto"/>
                        <w:bottom w:val="none" w:sz="0" w:space="0" w:color="auto"/>
                        <w:right w:val="none" w:sz="0" w:space="0" w:color="auto"/>
                      </w:divBdr>
                      <w:divsChild>
                        <w:div w:id="211187385">
                          <w:marLeft w:val="0"/>
                          <w:marRight w:val="0"/>
                          <w:marTop w:val="0"/>
                          <w:marBottom w:val="0"/>
                          <w:divBdr>
                            <w:top w:val="none" w:sz="0" w:space="0" w:color="auto"/>
                            <w:left w:val="none" w:sz="0" w:space="0" w:color="auto"/>
                            <w:bottom w:val="none" w:sz="0" w:space="0" w:color="auto"/>
                            <w:right w:val="none" w:sz="0" w:space="0" w:color="auto"/>
                          </w:divBdr>
                        </w:div>
                        <w:div w:id="990018108">
                          <w:marLeft w:val="0"/>
                          <w:marRight w:val="0"/>
                          <w:marTop w:val="0"/>
                          <w:marBottom w:val="0"/>
                          <w:divBdr>
                            <w:top w:val="none" w:sz="0" w:space="0" w:color="auto"/>
                            <w:left w:val="none" w:sz="0" w:space="0" w:color="auto"/>
                            <w:bottom w:val="none" w:sz="0" w:space="0" w:color="auto"/>
                            <w:right w:val="none" w:sz="0" w:space="0" w:color="auto"/>
                          </w:divBdr>
                        </w:div>
                        <w:div w:id="1978142849">
                          <w:marLeft w:val="0"/>
                          <w:marRight w:val="0"/>
                          <w:marTop w:val="0"/>
                          <w:marBottom w:val="0"/>
                          <w:divBdr>
                            <w:top w:val="none" w:sz="0" w:space="0" w:color="auto"/>
                            <w:left w:val="none" w:sz="0" w:space="0" w:color="auto"/>
                            <w:bottom w:val="none" w:sz="0" w:space="0" w:color="auto"/>
                            <w:right w:val="none" w:sz="0" w:space="0" w:color="auto"/>
                          </w:divBdr>
                        </w:div>
                        <w:div w:id="9293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793306">
      <w:bodyDiv w:val="1"/>
      <w:marLeft w:val="0"/>
      <w:marRight w:val="0"/>
      <w:marTop w:val="0"/>
      <w:marBottom w:val="0"/>
      <w:divBdr>
        <w:top w:val="none" w:sz="0" w:space="0" w:color="auto"/>
        <w:left w:val="none" w:sz="0" w:space="0" w:color="auto"/>
        <w:bottom w:val="none" w:sz="0" w:space="0" w:color="auto"/>
        <w:right w:val="none" w:sz="0" w:space="0" w:color="auto"/>
      </w:divBdr>
    </w:div>
    <w:div w:id="1795715440">
      <w:bodyDiv w:val="1"/>
      <w:marLeft w:val="0"/>
      <w:marRight w:val="0"/>
      <w:marTop w:val="0"/>
      <w:marBottom w:val="0"/>
      <w:divBdr>
        <w:top w:val="none" w:sz="0" w:space="0" w:color="auto"/>
        <w:left w:val="none" w:sz="0" w:space="0" w:color="auto"/>
        <w:bottom w:val="none" w:sz="0" w:space="0" w:color="auto"/>
        <w:right w:val="none" w:sz="0" w:space="0" w:color="auto"/>
      </w:divBdr>
      <w:divsChild>
        <w:div w:id="211698719">
          <w:marLeft w:val="0"/>
          <w:marRight w:val="0"/>
          <w:marTop w:val="0"/>
          <w:marBottom w:val="0"/>
          <w:divBdr>
            <w:top w:val="none" w:sz="0" w:space="0" w:color="auto"/>
            <w:left w:val="none" w:sz="0" w:space="0" w:color="auto"/>
            <w:bottom w:val="none" w:sz="0" w:space="0" w:color="auto"/>
            <w:right w:val="none" w:sz="0" w:space="0" w:color="auto"/>
          </w:divBdr>
          <w:divsChild>
            <w:div w:id="16901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2688">
      <w:bodyDiv w:val="1"/>
      <w:marLeft w:val="0"/>
      <w:marRight w:val="0"/>
      <w:marTop w:val="0"/>
      <w:marBottom w:val="0"/>
      <w:divBdr>
        <w:top w:val="none" w:sz="0" w:space="0" w:color="auto"/>
        <w:left w:val="none" w:sz="0" w:space="0" w:color="auto"/>
        <w:bottom w:val="none" w:sz="0" w:space="0" w:color="auto"/>
        <w:right w:val="none" w:sz="0" w:space="0" w:color="auto"/>
      </w:divBdr>
      <w:divsChild>
        <w:div w:id="1408723333">
          <w:marLeft w:val="0"/>
          <w:marRight w:val="0"/>
          <w:marTop w:val="0"/>
          <w:marBottom w:val="0"/>
          <w:divBdr>
            <w:top w:val="none" w:sz="0" w:space="0" w:color="auto"/>
            <w:left w:val="none" w:sz="0" w:space="0" w:color="auto"/>
            <w:bottom w:val="none" w:sz="0" w:space="0" w:color="auto"/>
            <w:right w:val="none" w:sz="0" w:space="0" w:color="auto"/>
          </w:divBdr>
        </w:div>
        <w:div w:id="96870962">
          <w:marLeft w:val="0"/>
          <w:marRight w:val="0"/>
          <w:marTop w:val="0"/>
          <w:marBottom w:val="0"/>
          <w:divBdr>
            <w:top w:val="none" w:sz="0" w:space="0" w:color="auto"/>
            <w:left w:val="none" w:sz="0" w:space="0" w:color="auto"/>
            <w:bottom w:val="none" w:sz="0" w:space="0" w:color="auto"/>
            <w:right w:val="none" w:sz="0" w:space="0" w:color="auto"/>
          </w:divBdr>
          <w:divsChild>
            <w:div w:id="909384724">
              <w:marLeft w:val="0"/>
              <w:marRight w:val="0"/>
              <w:marTop w:val="0"/>
              <w:marBottom w:val="0"/>
              <w:divBdr>
                <w:top w:val="none" w:sz="0" w:space="0" w:color="auto"/>
                <w:left w:val="none" w:sz="0" w:space="0" w:color="auto"/>
                <w:bottom w:val="none" w:sz="0" w:space="0" w:color="auto"/>
                <w:right w:val="none" w:sz="0" w:space="0" w:color="auto"/>
              </w:divBdr>
            </w:div>
          </w:divsChild>
        </w:div>
        <w:div w:id="1548755205">
          <w:marLeft w:val="0"/>
          <w:marRight w:val="0"/>
          <w:marTop w:val="0"/>
          <w:marBottom w:val="150"/>
          <w:divBdr>
            <w:top w:val="none" w:sz="0" w:space="0" w:color="auto"/>
            <w:left w:val="none" w:sz="0" w:space="0" w:color="auto"/>
            <w:bottom w:val="none" w:sz="0" w:space="0" w:color="auto"/>
            <w:right w:val="none" w:sz="0" w:space="0" w:color="auto"/>
          </w:divBdr>
          <w:divsChild>
            <w:div w:id="1671372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48325478">
      <w:bodyDiv w:val="1"/>
      <w:marLeft w:val="0"/>
      <w:marRight w:val="0"/>
      <w:marTop w:val="0"/>
      <w:marBottom w:val="0"/>
      <w:divBdr>
        <w:top w:val="none" w:sz="0" w:space="0" w:color="auto"/>
        <w:left w:val="none" w:sz="0" w:space="0" w:color="auto"/>
        <w:bottom w:val="none" w:sz="0" w:space="0" w:color="auto"/>
        <w:right w:val="none" w:sz="0" w:space="0" w:color="auto"/>
      </w:divBdr>
      <w:divsChild>
        <w:div w:id="1622614867">
          <w:marLeft w:val="0"/>
          <w:marRight w:val="0"/>
          <w:marTop w:val="0"/>
          <w:marBottom w:val="0"/>
          <w:divBdr>
            <w:top w:val="none" w:sz="0" w:space="0" w:color="auto"/>
            <w:left w:val="none" w:sz="0" w:space="0" w:color="auto"/>
            <w:bottom w:val="none" w:sz="0" w:space="0" w:color="auto"/>
            <w:right w:val="none" w:sz="0" w:space="0" w:color="auto"/>
          </w:divBdr>
        </w:div>
        <w:div w:id="901480073">
          <w:marLeft w:val="0"/>
          <w:marRight w:val="0"/>
          <w:marTop w:val="0"/>
          <w:marBottom w:val="0"/>
          <w:divBdr>
            <w:top w:val="none" w:sz="0" w:space="0" w:color="auto"/>
            <w:left w:val="none" w:sz="0" w:space="0" w:color="auto"/>
            <w:bottom w:val="none" w:sz="0" w:space="0" w:color="auto"/>
            <w:right w:val="none" w:sz="0" w:space="0" w:color="auto"/>
          </w:divBdr>
          <w:divsChild>
            <w:div w:id="1412121005">
              <w:marLeft w:val="0"/>
              <w:marRight w:val="0"/>
              <w:marTop w:val="0"/>
              <w:marBottom w:val="0"/>
              <w:divBdr>
                <w:top w:val="none" w:sz="0" w:space="0" w:color="auto"/>
                <w:left w:val="none" w:sz="0" w:space="0" w:color="auto"/>
                <w:bottom w:val="none" w:sz="0" w:space="0" w:color="auto"/>
                <w:right w:val="none" w:sz="0" w:space="0" w:color="auto"/>
              </w:divBdr>
              <w:divsChild>
                <w:div w:id="1247768322">
                  <w:marLeft w:val="0"/>
                  <w:marRight w:val="0"/>
                  <w:marTop w:val="0"/>
                  <w:marBottom w:val="0"/>
                  <w:divBdr>
                    <w:top w:val="none" w:sz="0" w:space="0" w:color="auto"/>
                    <w:left w:val="none" w:sz="0" w:space="0" w:color="auto"/>
                    <w:bottom w:val="none" w:sz="0" w:space="0" w:color="auto"/>
                    <w:right w:val="none" w:sz="0" w:space="0" w:color="auto"/>
                  </w:divBdr>
                  <w:divsChild>
                    <w:div w:id="11129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59173">
      <w:bodyDiv w:val="1"/>
      <w:marLeft w:val="0"/>
      <w:marRight w:val="0"/>
      <w:marTop w:val="0"/>
      <w:marBottom w:val="0"/>
      <w:divBdr>
        <w:top w:val="none" w:sz="0" w:space="0" w:color="auto"/>
        <w:left w:val="none" w:sz="0" w:space="0" w:color="auto"/>
        <w:bottom w:val="none" w:sz="0" w:space="0" w:color="auto"/>
        <w:right w:val="none" w:sz="0" w:space="0" w:color="auto"/>
      </w:divBdr>
    </w:div>
    <w:div w:id="1897234398">
      <w:bodyDiv w:val="1"/>
      <w:marLeft w:val="0"/>
      <w:marRight w:val="0"/>
      <w:marTop w:val="0"/>
      <w:marBottom w:val="0"/>
      <w:divBdr>
        <w:top w:val="none" w:sz="0" w:space="0" w:color="auto"/>
        <w:left w:val="none" w:sz="0" w:space="0" w:color="auto"/>
        <w:bottom w:val="none" w:sz="0" w:space="0" w:color="auto"/>
        <w:right w:val="none" w:sz="0" w:space="0" w:color="auto"/>
      </w:divBdr>
    </w:div>
    <w:div w:id="1942488109">
      <w:bodyDiv w:val="1"/>
      <w:marLeft w:val="0"/>
      <w:marRight w:val="0"/>
      <w:marTop w:val="0"/>
      <w:marBottom w:val="0"/>
      <w:divBdr>
        <w:top w:val="none" w:sz="0" w:space="0" w:color="auto"/>
        <w:left w:val="none" w:sz="0" w:space="0" w:color="auto"/>
        <w:bottom w:val="none" w:sz="0" w:space="0" w:color="auto"/>
        <w:right w:val="none" w:sz="0" w:space="0" w:color="auto"/>
      </w:divBdr>
    </w:div>
    <w:div w:id="2038701262">
      <w:bodyDiv w:val="1"/>
      <w:marLeft w:val="0"/>
      <w:marRight w:val="0"/>
      <w:marTop w:val="0"/>
      <w:marBottom w:val="0"/>
      <w:divBdr>
        <w:top w:val="none" w:sz="0" w:space="0" w:color="auto"/>
        <w:left w:val="none" w:sz="0" w:space="0" w:color="auto"/>
        <w:bottom w:val="none" w:sz="0" w:space="0" w:color="auto"/>
        <w:right w:val="none" w:sz="0" w:space="0" w:color="auto"/>
      </w:divBdr>
      <w:divsChild>
        <w:div w:id="1457066991">
          <w:marLeft w:val="0"/>
          <w:marRight w:val="0"/>
          <w:marTop w:val="0"/>
          <w:marBottom w:val="0"/>
          <w:divBdr>
            <w:top w:val="none" w:sz="0" w:space="0" w:color="auto"/>
            <w:left w:val="none" w:sz="0" w:space="0" w:color="auto"/>
            <w:bottom w:val="none" w:sz="0" w:space="0" w:color="auto"/>
            <w:right w:val="none" w:sz="0" w:space="0" w:color="auto"/>
          </w:divBdr>
        </w:div>
        <w:div w:id="86776103">
          <w:marLeft w:val="0"/>
          <w:marRight w:val="0"/>
          <w:marTop w:val="0"/>
          <w:marBottom w:val="0"/>
          <w:divBdr>
            <w:top w:val="none" w:sz="0" w:space="0" w:color="auto"/>
            <w:left w:val="none" w:sz="0" w:space="0" w:color="auto"/>
            <w:bottom w:val="none" w:sz="0" w:space="0" w:color="auto"/>
            <w:right w:val="none" w:sz="0" w:space="0" w:color="auto"/>
          </w:divBdr>
          <w:divsChild>
            <w:div w:id="127431688">
              <w:marLeft w:val="0"/>
              <w:marRight w:val="0"/>
              <w:marTop w:val="0"/>
              <w:marBottom w:val="0"/>
              <w:divBdr>
                <w:top w:val="none" w:sz="0" w:space="0" w:color="auto"/>
                <w:left w:val="none" w:sz="0" w:space="0" w:color="auto"/>
                <w:bottom w:val="none" w:sz="0" w:space="0" w:color="auto"/>
                <w:right w:val="none" w:sz="0" w:space="0" w:color="auto"/>
              </w:divBdr>
              <w:divsChild>
                <w:div w:id="696346371">
                  <w:marLeft w:val="0"/>
                  <w:marRight w:val="0"/>
                  <w:marTop w:val="0"/>
                  <w:marBottom w:val="0"/>
                  <w:divBdr>
                    <w:top w:val="none" w:sz="0" w:space="0" w:color="auto"/>
                    <w:left w:val="none" w:sz="0" w:space="0" w:color="auto"/>
                    <w:bottom w:val="none" w:sz="0" w:space="0" w:color="auto"/>
                    <w:right w:val="none" w:sz="0" w:space="0" w:color="auto"/>
                  </w:divBdr>
                  <w:divsChild>
                    <w:div w:id="1818836175">
                      <w:marLeft w:val="0"/>
                      <w:marRight w:val="0"/>
                      <w:marTop w:val="0"/>
                      <w:marBottom w:val="0"/>
                      <w:divBdr>
                        <w:top w:val="none" w:sz="0" w:space="0" w:color="auto"/>
                        <w:left w:val="none" w:sz="0" w:space="0" w:color="auto"/>
                        <w:bottom w:val="none" w:sz="0" w:space="0" w:color="auto"/>
                        <w:right w:val="none" w:sz="0" w:space="0" w:color="auto"/>
                      </w:divBdr>
                      <w:divsChild>
                        <w:div w:id="969089447">
                          <w:marLeft w:val="0"/>
                          <w:marRight w:val="0"/>
                          <w:marTop w:val="0"/>
                          <w:marBottom w:val="0"/>
                          <w:divBdr>
                            <w:top w:val="none" w:sz="0" w:space="0" w:color="auto"/>
                            <w:left w:val="none" w:sz="0" w:space="0" w:color="auto"/>
                            <w:bottom w:val="none" w:sz="0" w:space="0" w:color="auto"/>
                            <w:right w:val="none" w:sz="0" w:space="0" w:color="auto"/>
                          </w:divBdr>
                        </w:div>
                        <w:div w:id="54606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2278">
      <w:bodyDiv w:val="1"/>
      <w:marLeft w:val="0"/>
      <w:marRight w:val="0"/>
      <w:marTop w:val="0"/>
      <w:marBottom w:val="0"/>
      <w:divBdr>
        <w:top w:val="none" w:sz="0" w:space="0" w:color="auto"/>
        <w:left w:val="none" w:sz="0" w:space="0" w:color="auto"/>
        <w:bottom w:val="none" w:sz="0" w:space="0" w:color="auto"/>
        <w:right w:val="none" w:sz="0" w:space="0" w:color="auto"/>
      </w:divBdr>
    </w:div>
    <w:div w:id="2059621064">
      <w:bodyDiv w:val="1"/>
      <w:marLeft w:val="0"/>
      <w:marRight w:val="0"/>
      <w:marTop w:val="0"/>
      <w:marBottom w:val="0"/>
      <w:divBdr>
        <w:top w:val="none" w:sz="0" w:space="0" w:color="auto"/>
        <w:left w:val="none" w:sz="0" w:space="0" w:color="auto"/>
        <w:bottom w:val="none" w:sz="0" w:space="0" w:color="auto"/>
        <w:right w:val="none" w:sz="0" w:space="0" w:color="auto"/>
      </w:divBdr>
    </w:div>
    <w:div w:id="2071998812">
      <w:bodyDiv w:val="1"/>
      <w:marLeft w:val="0"/>
      <w:marRight w:val="0"/>
      <w:marTop w:val="0"/>
      <w:marBottom w:val="0"/>
      <w:divBdr>
        <w:top w:val="none" w:sz="0" w:space="0" w:color="auto"/>
        <w:left w:val="none" w:sz="0" w:space="0" w:color="auto"/>
        <w:bottom w:val="none" w:sz="0" w:space="0" w:color="auto"/>
        <w:right w:val="none" w:sz="0" w:space="0" w:color="auto"/>
      </w:divBdr>
    </w:div>
    <w:div w:id="2090694610">
      <w:bodyDiv w:val="1"/>
      <w:marLeft w:val="0"/>
      <w:marRight w:val="0"/>
      <w:marTop w:val="0"/>
      <w:marBottom w:val="0"/>
      <w:divBdr>
        <w:top w:val="none" w:sz="0" w:space="0" w:color="auto"/>
        <w:left w:val="none" w:sz="0" w:space="0" w:color="auto"/>
        <w:bottom w:val="none" w:sz="0" w:space="0" w:color="auto"/>
        <w:right w:val="none" w:sz="0" w:space="0" w:color="auto"/>
      </w:divBdr>
      <w:divsChild>
        <w:div w:id="1844929408">
          <w:marLeft w:val="0"/>
          <w:marRight w:val="0"/>
          <w:marTop w:val="0"/>
          <w:marBottom w:val="0"/>
          <w:divBdr>
            <w:top w:val="none" w:sz="0" w:space="0" w:color="auto"/>
            <w:left w:val="none" w:sz="0" w:space="0" w:color="auto"/>
            <w:bottom w:val="none" w:sz="0" w:space="0" w:color="auto"/>
            <w:right w:val="none" w:sz="0" w:space="0" w:color="auto"/>
          </w:divBdr>
        </w:div>
        <w:div w:id="533349384">
          <w:marLeft w:val="0"/>
          <w:marRight w:val="0"/>
          <w:marTop w:val="0"/>
          <w:marBottom w:val="0"/>
          <w:divBdr>
            <w:top w:val="none" w:sz="0" w:space="0" w:color="auto"/>
            <w:left w:val="none" w:sz="0" w:space="0" w:color="auto"/>
            <w:bottom w:val="none" w:sz="0" w:space="0" w:color="auto"/>
            <w:right w:val="none" w:sz="0" w:space="0" w:color="auto"/>
          </w:divBdr>
          <w:divsChild>
            <w:div w:id="605844852">
              <w:marLeft w:val="0"/>
              <w:marRight w:val="0"/>
              <w:marTop w:val="0"/>
              <w:marBottom w:val="0"/>
              <w:divBdr>
                <w:top w:val="none" w:sz="0" w:space="0" w:color="auto"/>
                <w:left w:val="none" w:sz="0" w:space="0" w:color="auto"/>
                <w:bottom w:val="none" w:sz="0" w:space="0" w:color="auto"/>
                <w:right w:val="none" w:sz="0" w:space="0" w:color="auto"/>
              </w:divBdr>
              <w:divsChild>
                <w:div w:id="114294795">
                  <w:marLeft w:val="0"/>
                  <w:marRight w:val="0"/>
                  <w:marTop w:val="0"/>
                  <w:marBottom w:val="0"/>
                  <w:divBdr>
                    <w:top w:val="none" w:sz="0" w:space="0" w:color="auto"/>
                    <w:left w:val="none" w:sz="0" w:space="0" w:color="auto"/>
                    <w:bottom w:val="none" w:sz="0" w:space="0" w:color="auto"/>
                    <w:right w:val="none" w:sz="0" w:space="0" w:color="auto"/>
                  </w:divBdr>
                  <w:divsChild>
                    <w:div w:id="20402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84677">
      <w:bodyDiv w:val="1"/>
      <w:marLeft w:val="0"/>
      <w:marRight w:val="0"/>
      <w:marTop w:val="0"/>
      <w:marBottom w:val="0"/>
      <w:divBdr>
        <w:top w:val="none" w:sz="0" w:space="0" w:color="auto"/>
        <w:left w:val="none" w:sz="0" w:space="0" w:color="auto"/>
        <w:bottom w:val="none" w:sz="0" w:space="0" w:color="auto"/>
        <w:right w:val="none" w:sz="0" w:space="0" w:color="auto"/>
      </w:divBdr>
      <w:divsChild>
        <w:div w:id="514006002">
          <w:marLeft w:val="0"/>
          <w:marRight w:val="0"/>
          <w:marTop w:val="0"/>
          <w:marBottom w:val="0"/>
          <w:divBdr>
            <w:top w:val="none" w:sz="0" w:space="0" w:color="auto"/>
            <w:left w:val="none" w:sz="0" w:space="0" w:color="auto"/>
            <w:bottom w:val="none" w:sz="0" w:space="0" w:color="auto"/>
            <w:right w:val="single" w:sz="6" w:space="11" w:color="E6E6E6"/>
          </w:divBdr>
        </w:div>
        <w:div w:id="720641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go.id/id/publikasi/kebijakan-moneter/tinjauan" TargetMode="External"/><Relationship Id="rId13" Type="http://schemas.openxmlformats.org/officeDocument/2006/relationships/hyperlink" Target="https://www.bi.go.id/id/publikasi/laporan-dpr" TargetMode="External"/><Relationship Id="rId1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hyperlink" Target="https://www.bi.go.id/id/tentang-bi/hubungan-kelembagaan/internasional/Contents/Sekilas.aspx" TargetMode="External"/><Relationship Id="rId12" Type="http://schemas.openxmlformats.org/officeDocument/2006/relationships/hyperlink" Target="https://www.bi.go.id/id/publikasi/laporan-dpr"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bi.go.id/id/tentang-bi/uu-bi/Contents/Default.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bi.go.id/id/publikasi/laporan-tahunan/perekonomian" TargetMode="External"/><Relationship Id="rId5" Type="http://schemas.openxmlformats.org/officeDocument/2006/relationships/webSettings" Target="webSettings.xml"/><Relationship Id="rId15" Type="http://schemas.openxmlformats.org/officeDocument/2006/relationships/hyperlink" Target="https://www.bi.go.id/id/moneter/operasi/proyeksi-likuiditas-harian" TargetMode="External"/><Relationship Id="rId10" Type="http://schemas.openxmlformats.org/officeDocument/2006/relationships/hyperlink" Target="https://www.bi.go.id/id/publikasi/laporan-tahunan/perekonomia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go.id/id/publikasi/kebijakan-moneter/tinjauan" TargetMode="External"/><Relationship Id="rId14" Type="http://schemas.openxmlformats.org/officeDocument/2006/relationships/hyperlink" Target="https://www.bi.go.id/id/moneter/operasi/proyeksi-likuiditas-har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6621</Words>
  <Characters>37743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dc:creator>
  <cp:lastModifiedBy>STAFF</cp:lastModifiedBy>
  <cp:revision>5</cp:revision>
  <dcterms:created xsi:type="dcterms:W3CDTF">2019-03-13T05:24:00Z</dcterms:created>
  <dcterms:modified xsi:type="dcterms:W3CDTF">2019-03-13T10:35:00Z</dcterms:modified>
</cp:coreProperties>
</file>