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E4" w:rsidRDefault="008A11E4"/>
    <w:p w:rsidR="00633063" w:rsidRPr="009701A9" w:rsidRDefault="00633063" w:rsidP="00633063">
      <w:pPr>
        <w:spacing w:line="240" w:lineRule="auto"/>
        <w:ind w:left="1440"/>
        <w:jc w:val="both"/>
        <w:rPr>
          <w:rFonts w:ascii="Arial" w:hAnsi="Arial" w:cs="Arial"/>
          <w:sz w:val="24"/>
          <w:szCs w:val="24"/>
        </w:rPr>
      </w:pPr>
      <w:r w:rsidRPr="009701A9">
        <w:rPr>
          <w:rFonts w:ascii="Arial" w:hAnsi="Arial" w:cs="Arial"/>
          <w:sz w:val="24"/>
          <w:szCs w:val="24"/>
        </w:rPr>
        <w:t xml:space="preserve">    MEKANISME PENEGAKAN HUKUM HAM</w:t>
      </w:r>
    </w:p>
    <w:p w:rsidR="00956BBD" w:rsidRPr="009701A9" w:rsidRDefault="00956BBD" w:rsidP="00633063">
      <w:pPr>
        <w:spacing w:line="240" w:lineRule="auto"/>
        <w:ind w:left="1440"/>
        <w:jc w:val="both"/>
        <w:rPr>
          <w:rFonts w:ascii="Arial" w:hAnsi="Arial" w:cs="Arial"/>
          <w:sz w:val="24"/>
          <w:szCs w:val="24"/>
        </w:rPr>
      </w:pPr>
    </w:p>
    <w:p w:rsidR="00633063" w:rsidRPr="009701A9" w:rsidRDefault="00633063" w:rsidP="00633063">
      <w:pPr>
        <w:spacing w:line="240" w:lineRule="auto"/>
        <w:jc w:val="both"/>
        <w:rPr>
          <w:rFonts w:ascii="Arial" w:hAnsi="Arial" w:cs="Arial"/>
          <w:sz w:val="24"/>
          <w:szCs w:val="24"/>
        </w:rPr>
      </w:pPr>
      <w:bookmarkStart w:id="0" w:name="_GoBack"/>
      <w:bookmarkEnd w:id="0"/>
      <w:r w:rsidRPr="009701A9">
        <w:rPr>
          <w:rFonts w:ascii="Arial" w:hAnsi="Arial" w:cs="Arial"/>
          <w:sz w:val="24"/>
          <w:szCs w:val="24"/>
        </w:rPr>
        <w:t xml:space="preserve">                        Oleh  : Bambang Angkoso Wahyono SH, MH  </w:t>
      </w:r>
    </w:p>
    <w:p w:rsidR="00023EF0" w:rsidRPr="009701A9" w:rsidRDefault="00023EF0" w:rsidP="00633063">
      <w:pPr>
        <w:spacing w:line="240" w:lineRule="auto"/>
        <w:jc w:val="both"/>
        <w:rPr>
          <w:rFonts w:ascii="Arial" w:hAnsi="Arial" w:cs="Arial"/>
          <w:sz w:val="24"/>
          <w:szCs w:val="24"/>
        </w:rPr>
      </w:pPr>
    </w:p>
    <w:p w:rsidR="00633063" w:rsidRPr="009701A9" w:rsidRDefault="00035548" w:rsidP="00633063">
      <w:pPr>
        <w:spacing w:line="240" w:lineRule="auto"/>
        <w:jc w:val="both"/>
        <w:rPr>
          <w:rFonts w:ascii="Arial" w:hAnsi="Arial" w:cs="Arial"/>
          <w:sz w:val="24"/>
          <w:szCs w:val="24"/>
        </w:rPr>
      </w:pPr>
      <w:r w:rsidRPr="009701A9">
        <w:rPr>
          <w:rFonts w:ascii="Arial" w:hAnsi="Arial" w:cs="Arial"/>
          <w:sz w:val="24"/>
          <w:szCs w:val="24"/>
        </w:rPr>
        <w:tab/>
        <w:t>Hak asasi manusia adalah hak-hak yang langsung pemberian dari Tuhan Yang Maha pencipta, karenanya itu hak asasi manusia disebut juga sebagai hak kodrati. Sehingga karenanya itu tidak boleh ada kekuasaan dari manapun dan dari siapapun di dunia ini yang dapat mencabutnya. Akan tetapi prakteknya dalam pemenuhan hak asasi manusia tersebut tidak berarti bahwa dengan mengatas namakan perlindungan dan pemenuhan hak asasi manusia seseorang dapat berbuat menurut kehendaknya sendiri, karena  ia harus menghormati hak-hak asasi manusia orang lain juga.</w:t>
      </w:r>
    </w:p>
    <w:p w:rsidR="00FA4DFF" w:rsidRPr="009701A9" w:rsidRDefault="00FA4DFF" w:rsidP="00633063">
      <w:pPr>
        <w:spacing w:line="240" w:lineRule="auto"/>
        <w:jc w:val="both"/>
        <w:rPr>
          <w:rFonts w:ascii="Arial" w:hAnsi="Arial" w:cs="Arial"/>
          <w:sz w:val="24"/>
          <w:szCs w:val="24"/>
        </w:rPr>
      </w:pPr>
      <w:r w:rsidRPr="009701A9">
        <w:rPr>
          <w:rFonts w:ascii="Arial" w:hAnsi="Arial" w:cs="Arial"/>
          <w:sz w:val="24"/>
          <w:szCs w:val="24"/>
        </w:rPr>
        <w:tab/>
        <w:t>Hak asasi manusia itu sendiri pada dasarnya terdiri dari dua hak yang sangat fundamental yaitu : hak persamaan dan hak kebebasan. Berdasarkan kedua hak inilah kemudian lahirlah apa yang dinamakan hak asasi manusia. Untuk upaya pemenuhan dan penegakan hak asasi manusia selalu menggunakan tolok ukur pada kedua hak tersebut, tanpa adanya kedua hak tersebut sangat sulit untuk menegakan hak-hak asasi</w:t>
      </w:r>
      <w:r w:rsidR="00AB3ED1" w:rsidRPr="009701A9">
        <w:rPr>
          <w:rFonts w:ascii="Arial" w:hAnsi="Arial" w:cs="Arial"/>
          <w:sz w:val="24"/>
          <w:szCs w:val="24"/>
        </w:rPr>
        <w:t xml:space="preserve"> yang lainya.</w:t>
      </w:r>
    </w:p>
    <w:p w:rsidR="00AB3ED1" w:rsidRPr="009701A9" w:rsidRDefault="00AB3ED1" w:rsidP="00633063">
      <w:pPr>
        <w:spacing w:line="240" w:lineRule="auto"/>
        <w:jc w:val="both"/>
        <w:rPr>
          <w:rFonts w:ascii="Arial" w:hAnsi="Arial" w:cs="Arial"/>
          <w:sz w:val="24"/>
          <w:szCs w:val="24"/>
        </w:rPr>
      </w:pPr>
      <w:r w:rsidRPr="009701A9">
        <w:rPr>
          <w:rFonts w:ascii="Arial" w:hAnsi="Arial" w:cs="Arial"/>
          <w:sz w:val="24"/>
          <w:szCs w:val="24"/>
        </w:rPr>
        <w:tab/>
        <w:t>Dari perspektif filosofis dalam memahami hak asasi manusia selalu mengacu kepada keadaan alamiah manusia sebagai makhluk  yang mengetahui bahwa tanpa adanya hak asasi yang secara individu harus ada, tidaklah mungkin manusia dapat membangun sebuah masyarakat yang beradab.</w:t>
      </w:r>
    </w:p>
    <w:p w:rsidR="00CF1140" w:rsidRPr="009701A9" w:rsidRDefault="00CF1140" w:rsidP="00633063">
      <w:pPr>
        <w:spacing w:line="240" w:lineRule="auto"/>
        <w:jc w:val="both"/>
        <w:rPr>
          <w:rFonts w:ascii="Arial" w:hAnsi="Arial" w:cs="Arial"/>
          <w:sz w:val="24"/>
          <w:szCs w:val="24"/>
        </w:rPr>
      </w:pPr>
      <w:r w:rsidRPr="009701A9">
        <w:rPr>
          <w:rFonts w:ascii="Arial" w:hAnsi="Arial" w:cs="Arial"/>
          <w:sz w:val="24"/>
          <w:szCs w:val="24"/>
        </w:rPr>
        <w:tab/>
        <w:t>Masyarakat beradab adalah masyarakat yang dalam kehidupanya selalu mengedepankan, menghormati dan menghargai nilai-nilai  kemanusiaan baik secara individual maupun secara kelompok.</w:t>
      </w:r>
    </w:p>
    <w:p w:rsidR="0094574A" w:rsidRPr="009701A9" w:rsidRDefault="0094574A" w:rsidP="00633063">
      <w:pPr>
        <w:spacing w:line="240" w:lineRule="auto"/>
        <w:jc w:val="both"/>
        <w:rPr>
          <w:rFonts w:ascii="Arial" w:hAnsi="Arial" w:cs="Arial"/>
          <w:sz w:val="24"/>
          <w:szCs w:val="24"/>
        </w:rPr>
      </w:pPr>
      <w:r w:rsidRPr="009701A9">
        <w:rPr>
          <w:rFonts w:ascii="Arial" w:hAnsi="Arial" w:cs="Arial"/>
          <w:sz w:val="24"/>
          <w:szCs w:val="24"/>
        </w:rPr>
        <w:tab/>
        <w:t>Berdasarkan berbagai definisi dan pemaknaan hak asasi manusia yang ada diberbagai literatur dapat diambil suatu kesimpulan bahwa yang dimaksud dengan hak asasi manusia adalah hak-hak dasar yang melekat pada diri setiap manusia yang dibawa sejak lahir sebagai anugerah dari Tuhan Yang Maha Esa, sehingga tidak seorangpun yang dapat</w:t>
      </w:r>
      <w:r w:rsidR="00837A89" w:rsidRPr="009701A9">
        <w:rPr>
          <w:rFonts w:ascii="Arial" w:hAnsi="Arial" w:cs="Arial"/>
          <w:sz w:val="24"/>
          <w:szCs w:val="24"/>
        </w:rPr>
        <w:t xml:space="preserve"> mengambil(mencabutnya) atau melanggarnya, siapapun, kapanpun dan dimanapun. Apabila  hak-hak dasar seseorang tersebut dilanggar maka ia tidak akan dapat</w:t>
      </w:r>
      <w:r w:rsidR="00F16F35" w:rsidRPr="009701A9">
        <w:rPr>
          <w:rFonts w:ascii="Arial" w:hAnsi="Arial" w:cs="Arial"/>
          <w:sz w:val="24"/>
          <w:szCs w:val="24"/>
        </w:rPr>
        <w:t xml:space="preserve"> hidup layak sebagaimana manusia lainya.</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Menurut pendapat Purbacaraka penegakkan hukum dimaknai sebagai kegiatan menyerasikan hubungan nilai-nilai yang dijabarkan dalam kaidah-kaidah atau pandangan yang mantap dan mengejawantah serta sikap tindak sebagai rangkaian penjabaran nilai tahap akhir, untuk menciptakan, memelihara dan mempertahankan kedamaian pergaulan hidup.</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Dalam teori ilmu hukum, untuk berlakunya hukum itu sendiri</w:t>
      </w:r>
      <w:r w:rsidR="00746A71" w:rsidRPr="009701A9">
        <w:rPr>
          <w:rFonts w:ascii="Arial" w:hAnsi="Arial" w:cs="Arial"/>
          <w:sz w:val="24"/>
          <w:szCs w:val="24"/>
        </w:rPr>
        <w:t xml:space="preserve"> </w:t>
      </w:r>
      <w:r w:rsidRPr="009701A9">
        <w:rPr>
          <w:rFonts w:ascii="Arial" w:hAnsi="Arial" w:cs="Arial"/>
          <w:sz w:val="24"/>
          <w:szCs w:val="24"/>
        </w:rPr>
        <w:t>pada umumnya</w:t>
      </w:r>
      <w:r w:rsidR="00746A71" w:rsidRPr="009701A9">
        <w:rPr>
          <w:rFonts w:ascii="Arial" w:hAnsi="Arial" w:cs="Arial"/>
          <w:sz w:val="24"/>
          <w:szCs w:val="24"/>
        </w:rPr>
        <w:t xml:space="preserve"> dibedakan antara tiga hal yaitu;</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lastRenderedPageBreak/>
        <w:t>Berlakunya hukum secara yuridis, penentuanya berdasarkan pada kaedah yang lebih tinggi tingkatanya dan kaedahnya terbentuk menurut cara yang telah ditetapkan.</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sosiologis, yang pada intinya mengedepankan pada efektifitas hukum.</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filosofis</w:t>
      </w:r>
      <w:r w:rsidR="00C70B24" w:rsidRPr="009701A9">
        <w:rPr>
          <w:rFonts w:ascii="Arial" w:hAnsi="Arial" w:cs="Arial"/>
          <w:sz w:val="24"/>
          <w:szCs w:val="24"/>
        </w:rPr>
        <w:t>, dimaknai sebagai hukum itu berlaku telah sesuai dengan cita-cita hukum, sebagai nilai-nilai positif yang tertinggi.</w:t>
      </w:r>
    </w:p>
    <w:p w:rsidR="00A467D9" w:rsidRPr="009701A9" w:rsidRDefault="00A467D9" w:rsidP="00A467D9">
      <w:pPr>
        <w:spacing w:line="240" w:lineRule="auto"/>
        <w:ind w:left="360"/>
        <w:jc w:val="both"/>
        <w:rPr>
          <w:rFonts w:ascii="Arial" w:hAnsi="Arial" w:cs="Arial"/>
          <w:sz w:val="24"/>
          <w:szCs w:val="24"/>
        </w:rPr>
      </w:pPr>
    </w:p>
    <w:p w:rsidR="00A467D9" w:rsidRPr="009701A9" w:rsidRDefault="00A467D9" w:rsidP="006218DC">
      <w:pPr>
        <w:spacing w:line="240" w:lineRule="auto"/>
        <w:ind w:firstLine="720"/>
        <w:jc w:val="both"/>
        <w:rPr>
          <w:rFonts w:ascii="Arial" w:hAnsi="Arial" w:cs="Arial"/>
          <w:sz w:val="24"/>
          <w:szCs w:val="24"/>
        </w:rPr>
      </w:pPr>
      <w:r w:rsidRPr="009701A9">
        <w:rPr>
          <w:rFonts w:ascii="Arial" w:hAnsi="Arial" w:cs="Arial"/>
          <w:sz w:val="24"/>
          <w:szCs w:val="24"/>
        </w:rPr>
        <w:t>Proses penegakan hukum harus memperhatikan landasan dan sasaran berlakunya hukum, agar hukum dapat berfungsi dengan baik</w:t>
      </w:r>
      <w:r w:rsidR="006218DC" w:rsidRPr="009701A9">
        <w:rPr>
          <w:rFonts w:ascii="Arial" w:hAnsi="Arial" w:cs="Arial"/>
          <w:sz w:val="24"/>
          <w:szCs w:val="24"/>
        </w:rPr>
        <w:t xml:space="preserve"> maka diperlukan keserasian hubungan beberapa komponen diantaranya:</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Hukum atau peraturan itu sendiri.</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Mentalitas  petugas yang menegakan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Fasilitas yang diharapkan untuk mendukung pelaksanaan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Kesadaran hukum, kepatuhan hukum dan perilaku warga masyarakat.</w:t>
      </w:r>
    </w:p>
    <w:p w:rsidR="007A3F8C" w:rsidRPr="009701A9" w:rsidRDefault="007A3F8C" w:rsidP="007A3F8C">
      <w:pPr>
        <w:spacing w:line="240" w:lineRule="auto"/>
        <w:jc w:val="both"/>
        <w:rPr>
          <w:rFonts w:ascii="Arial" w:hAnsi="Arial" w:cs="Arial"/>
          <w:sz w:val="24"/>
          <w:szCs w:val="24"/>
        </w:rPr>
      </w:pPr>
      <w:r w:rsidRPr="009701A9">
        <w:rPr>
          <w:rFonts w:ascii="Arial" w:hAnsi="Arial" w:cs="Arial"/>
          <w:sz w:val="24"/>
          <w:szCs w:val="24"/>
        </w:rPr>
        <w:t xml:space="preserve">Keempat komponen tersebut di atas, saling berkaitan </w:t>
      </w:r>
      <w:r w:rsidR="002C62BC" w:rsidRPr="009701A9">
        <w:rPr>
          <w:rFonts w:ascii="Arial" w:hAnsi="Arial" w:cs="Arial"/>
          <w:sz w:val="24"/>
          <w:szCs w:val="24"/>
        </w:rPr>
        <w:t>dan merupakan inti dari sistim penegakan hukum. Mengingat  Indonesia merupakan negara hukum maka upaya penegakan hukum (rule of law) termasuk penegakan hukm hak asasi manusia harus senantiasa dilakukan dengan sungguh-sungguh.</w:t>
      </w:r>
    </w:p>
    <w:p w:rsidR="002E2273" w:rsidRPr="009701A9" w:rsidRDefault="002E2273" w:rsidP="007A3F8C">
      <w:pPr>
        <w:spacing w:line="240" w:lineRule="auto"/>
        <w:jc w:val="both"/>
        <w:rPr>
          <w:rFonts w:ascii="Arial" w:hAnsi="Arial" w:cs="Arial"/>
          <w:sz w:val="24"/>
          <w:szCs w:val="24"/>
        </w:rPr>
      </w:pPr>
      <w:r w:rsidRPr="009701A9">
        <w:rPr>
          <w:rFonts w:ascii="Arial" w:hAnsi="Arial" w:cs="Arial"/>
          <w:sz w:val="24"/>
          <w:szCs w:val="24"/>
        </w:rPr>
        <w:tab/>
        <w:t>Pada masa lampau dunia luar masih menilai bahwa di Indonesia dalam penegakan hak asasi manusia masih diragukan keseriusanya. Hal ini disebabkan oleh perbedaan pandangan dari pandangan universal tentang perlindungan hak asasi manusia.</w:t>
      </w:r>
      <w:r w:rsidR="00195BD4" w:rsidRPr="009701A9">
        <w:rPr>
          <w:rFonts w:ascii="Arial" w:hAnsi="Arial" w:cs="Arial"/>
          <w:sz w:val="24"/>
          <w:szCs w:val="24"/>
        </w:rPr>
        <w:t xml:space="preserve"> Mendasari perbedaan cara pandang tentang hak asasi manusia tersebut, maka sangat penting mengetahui bagimana standar penegakan hak asasi manusiam itu sendiri pada skala universal</w:t>
      </w:r>
      <w:r w:rsidR="00023EF0" w:rsidRPr="009701A9">
        <w:rPr>
          <w:rFonts w:ascii="Arial" w:hAnsi="Arial" w:cs="Arial"/>
          <w:sz w:val="24"/>
          <w:szCs w:val="24"/>
        </w:rPr>
        <w:t>.</w:t>
      </w:r>
      <w:r w:rsidR="00195BD4" w:rsidRPr="009701A9">
        <w:rPr>
          <w:rFonts w:ascii="Arial" w:hAnsi="Arial" w:cs="Arial"/>
          <w:sz w:val="24"/>
          <w:szCs w:val="24"/>
        </w:rPr>
        <w:t xml:space="preserve"> </w:t>
      </w:r>
    </w:p>
    <w:p w:rsidR="006218DC" w:rsidRPr="009701A9" w:rsidRDefault="006218DC" w:rsidP="00A467D9">
      <w:pPr>
        <w:spacing w:line="240" w:lineRule="auto"/>
        <w:ind w:left="720"/>
        <w:jc w:val="both"/>
        <w:rPr>
          <w:rFonts w:ascii="Arial" w:hAnsi="Arial" w:cs="Arial"/>
          <w:sz w:val="24"/>
          <w:szCs w:val="24"/>
        </w:rPr>
      </w:pP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Standar Internasional Mekanisme Pengadilan Hak Asasi Manusia Menurut Statuta Roma 1998</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Berdasarkan penelitian terhadap bahan hukum primer, yakni ketentuan-ketentuan hukum internasional yang tercantum dalam Statuta Roma 1998, maka dapat diuraikan beberapa unsur yang perlu dijadikan standar-standar bagi mekanisme pengadilan hak asasi manusia di Indonesia untuk mengadili para pelaku pelanggar</w:t>
      </w:r>
      <w:r w:rsidR="00021A20" w:rsidRPr="009701A9">
        <w:rPr>
          <w:rFonts w:ascii="Arial" w:hAnsi="Arial" w:cs="Arial"/>
          <w:sz w:val="24"/>
          <w:szCs w:val="24"/>
        </w:rPr>
        <w:t xml:space="preserve">an hak asasi manusia yang berat, unsur-unsur dimaksud diantaranya </w:t>
      </w:r>
      <w:r w:rsidRPr="009701A9">
        <w:rPr>
          <w:rFonts w:ascii="Arial" w:hAnsi="Arial" w:cs="Arial"/>
          <w:sz w:val="24"/>
          <w:szCs w:val="24"/>
        </w:rPr>
        <w:t>yaitu:</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Yurisdiksi Pengadilan Hak Asasi Manusia</w:t>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Yurisdiksi pengadilan hak asasi manusia sesuai dengan standar internasional baik Mahkamah ad hoc Nuremberg (1945), Tokyo, (1946), Yugoslavia (1993) dan Rwanda 1994) maupun Mahkamah Pidana Interasional berdasarkan Statuta Roma (1998) nenegaskan "bahwa formulasi elemen of crimes pelanggaran hak asasi manusia yang berat dalah: Genocide, Crimes Againts Humanity, War Crimes dan Crimes of aggression, sebagaimana diatur dalam Pasal 5 Statuta Roma 1998.</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lastRenderedPageBreak/>
        <w:t>2.</w:t>
      </w:r>
      <w:r w:rsidRPr="009701A9">
        <w:rPr>
          <w:rFonts w:ascii="Arial" w:hAnsi="Arial" w:cs="Arial"/>
          <w:sz w:val="24"/>
          <w:szCs w:val="24"/>
        </w:rPr>
        <w:tab/>
      </w:r>
      <w:r w:rsidR="00633063" w:rsidRPr="009701A9">
        <w:rPr>
          <w:rFonts w:ascii="Arial" w:hAnsi="Arial" w:cs="Arial"/>
          <w:sz w:val="24"/>
          <w:szCs w:val="24"/>
        </w:rPr>
        <w:t>Prinsip-Prinsip Hukum</w:t>
      </w:r>
      <w:r w:rsidRPr="009701A9">
        <w:rPr>
          <w:rFonts w:ascii="Arial" w:hAnsi="Arial" w:cs="Arial"/>
          <w:sz w:val="24"/>
          <w:szCs w:val="24"/>
        </w:rPr>
        <w:t xml:space="preserve"> yang</w:t>
      </w:r>
      <w:r w:rsidR="00633063" w:rsidRPr="009701A9">
        <w:rPr>
          <w:rFonts w:ascii="Arial" w:hAnsi="Arial" w:cs="Arial"/>
          <w:sz w:val="24"/>
          <w:szCs w:val="24"/>
        </w:rPr>
        <w:t xml:space="preserve"> Sesuai Standar Interasional</w:t>
      </w:r>
      <w:r w:rsidRPr="009701A9">
        <w:rPr>
          <w:rFonts w:ascii="Arial" w:hAnsi="Arial" w:cs="Arial"/>
          <w:sz w:val="24"/>
          <w:szCs w:val="24"/>
        </w:rPr>
        <w:t>, diantaranya;</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 xml:space="preserve">Prinsip Pelengkap.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 dinyatakan bahwa Mahkamah Pidana Internasional merupakan pelengkap terhadap pengadilan nasional. Prinsip ini sebaiknya dimasukkan dalam rencana revisi Undang-undang Nomor 26 Tahun 2000, bahwa pengadilan hak asasi nanusia di Indonesia dilengkapi oleh Mahkamah Pidana Internasional. Hal ini dimaksudkan bahwa hukum nasional dan interasional tidak memberikan celah bagi pelaku pelanggaran hak asasi manusia yang berat untuk menghindar dari pertanggung jawaban Pidana, baik dalam pengadilan nasional maupun pengadilan internasional. Apabila pengadilan nasional tidak mampu melaksanakan yurisdiksinya, maka pelaku dapat diadili di tingkat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 xml:space="preserve">Prinsip Personalitas.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74 ditegaskan bahwa Mahkamah Pidana Internasional mempunyai personalitas (sebagai subyek hukum) dalam hukum internasional. Oleh karena itu Mahkamah internasional dalam menjalankan fungsi dan kekuasaannya dapat membuat perjanjian-perjanjian dengan PBB (Pasal 2) dan juga negara-negara (Pasal 4) dan mempunyai hak-hak istimewa dan kekebalan yang dibutuhkan untuk memenuhi tujuannya (Pasal 48).</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Prinsip ratione temporis. Dalam Pasal 75 ditegaskan bahwa Mahkamah Pidana internasional mempunyai yurisdiksi hanya berkenaan dengan kejahatan yang dilakukan telah berlakunya Statuta ini. Kemudian apabila suatu negara menjadi peserta Statuta ini telah Statuta ini berlaku, Mahkamah Pidana Internasional dapat melaksanakan yuridiksinya hanya berkenan dengan kejahatan yang dilakukan setelah diberlakukannya Statuta ini untuk negara tersebut. Kecuali kalau negara tersebut telah membuat suatu Deklarasi.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 xml:space="preserve">Prinsip superioritas.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17 ayat (1) (2) dan (3) secara ringkas dapat dijelaskan bahwa apabila pengadilan nasional tidak dapat melaksanakan yurisdiksinya secara fair dan partial maka kompetensi yurisdiksi Mahakamah Pidana Internasional dapat diberlakukan.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t xml:space="preserve">Prinsip pertanggung jawaban individu.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81-85 ditegaskan bahwa Mahkamah Pidana Internasional mempunyai yurisdiksi atas orang (natural persons) yakni seorang yang melakukan kejahatan bertanggung jawab secara individual dan dapat dihukum. Statuta ini tidak meminta pertanggungjawaban organisasi, partai politik dan objek hukum lainnya.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6).</w:t>
      </w:r>
      <w:r w:rsidRPr="009701A9">
        <w:rPr>
          <w:rFonts w:ascii="Arial" w:hAnsi="Arial" w:cs="Arial"/>
          <w:sz w:val="24"/>
          <w:szCs w:val="24"/>
        </w:rPr>
        <w:tab/>
        <w:t>Prinsip in absentia.</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1 ditegaskan bahwa Kamar Pra Peradilan. Atas permintaan Jaksa Penuntut atau atas mosinya sendiri, dapat mengadakan pemeriksaan dengan tidak dihadiri oleh terdakwa untuk menegaskan tuduhan-tuduhan di </w:t>
      </w:r>
      <w:r w:rsidRPr="009701A9">
        <w:rPr>
          <w:rFonts w:ascii="Arial" w:hAnsi="Arial" w:cs="Arial"/>
          <w:sz w:val="24"/>
          <w:szCs w:val="24"/>
        </w:rPr>
        <w:lastRenderedPageBreak/>
        <w:t>mana Jaksa menuntut bermaksud untuk mengupayakan persidangan dalam hal ini, orang tersebut diwakili oleh penasihat hukum di mana kamar pra peradilan menetapkan bahwa hal itu adalah demi kepentingan keadilan.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7).</w:t>
      </w:r>
      <w:r w:rsidRPr="009701A9">
        <w:rPr>
          <w:rFonts w:ascii="Arial" w:hAnsi="Arial" w:cs="Arial"/>
          <w:sz w:val="24"/>
          <w:szCs w:val="24"/>
        </w:rPr>
        <w:tab/>
        <w:t xml:space="preserve">Prinsip nebis in idem.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61 ke 1 dan ke 2 jo Pasal 55 ke 2 huruf (c) maksudnya adalah perkara yang sudah di putus oleh Mahkamah Pidana Internasional tidak boleh disidangkan lagi oleh Mahkamah Pidana Internasional sendiri maupun pengadilan yang lain, namun Mahkamah Pidana Internasional boleh mengadili perkara yang telah diputus oleh pengadilan yang lain. Mahkamah Pidana Internasional boleh mengadili perkara yang telah diputus oleh pengadilan lain kalau proses perkara tersebut sebagaimana diterangkan dalam Pasal 4 tentang prinsip superioritas.</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8).</w:t>
      </w:r>
      <w:r w:rsidRPr="009701A9">
        <w:rPr>
          <w:rFonts w:ascii="Arial" w:hAnsi="Arial" w:cs="Arial"/>
          <w:sz w:val="24"/>
          <w:szCs w:val="24"/>
        </w:rPr>
        <w:tab/>
        <w:t xml:space="preserve">Prinsip nuilum crimen sine lege (tiada kejahatan tanpa undang-undang).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20 dinyatakan bahwa seseorang tidak bertanggung jawab secara pidana berdasarkan statuta kecuali kalau perbuatan yang dimaksud merupakan pada saat perbuatan itu berlangsung suatu kejahatan dalam yurisdiksi dalam Mahkamah Pidana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9).</w:t>
      </w:r>
      <w:r w:rsidRPr="009701A9">
        <w:rPr>
          <w:rFonts w:ascii="Arial" w:hAnsi="Arial" w:cs="Arial"/>
          <w:sz w:val="24"/>
          <w:szCs w:val="24"/>
        </w:rPr>
        <w:tab/>
        <w:t xml:space="preserve">Prinsip pembatasan analogi (penafsiran ketat). </w:t>
      </w:r>
    </w:p>
    <w:p w:rsidR="00633063" w:rsidRPr="009701A9" w:rsidRDefault="00633063" w:rsidP="0088255A">
      <w:pPr>
        <w:spacing w:line="240" w:lineRule="auto"/>
        <w:ind w:left="720"/>
        <w:jc w:val="both"/>
        <w:rPr>
          <w:rFonts w:ascii="Arial" w:hAnsi="Arial" w:cs="Arial"/>
          <w:sz w:val="24"/>
          <w:szCs w:val="24"/>
        </w:rPr>
      </w:pPr>
      <w:r w:rsidRPr="009701A9">
        <w:rPr>
          <w:rFonts w:ascii="Arial" w:hAnsi="Arial" w:cs="Arial"/>
          <w:sz w:val="24"/>
          <w:szCs w:val="24"/>
        </w:rPr>
        <w:t>Dalam Pasal 20 dinyatakan bahwa isi mengenai kejahatan harus ditafsirkan dengan ketat dan tidak boleh diperluas dalam hal terdapat kekaburan definisi itu harus ditafsirkan yang menguntungkan orang yang sedang diselidiki, dituntut atau dihukum untuk menghindari penafsiran yang melebar telah dikeluarkan rancangan Mahkamah Pidana yang menguraikan elemen-elemen kejahatan.</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10).</w:t>
      </w:r>
      <w:r w:rsidRPr="009701A9">
        <w:rPr>
          <w:rFonts w:ascii="Arial" w:hAnsi="Arial" w:cs="Arial"/>
          <w:sz w:val="24"/>
          <w:szCs w:val="24"/>
        </w:rPr>
        <w:tab/>
        <w:t>Prinsip nulla poena lege (tiada pidana tanpa undang-undang). Dalam Pasal 23 dinyatakan bahwa seseorang yang dinyatakan bersalah oleh Mahkamah dapat dihukum hanya sesuai dengan Statuta ini.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11).</w:t>
      </w:r>
      <w:r w:rsidRPr="009701A9">
        <w:rPr>
          <w:rFonts w:ascii="Arial" w:hAnsi="Arial" w:cs="Arial"/>
          <w:sz w:val="24"/>
          <w:szCs w:val="24"/>
        </w:rPr>
        <w:tab/>
        <w:t>Prinsip Ratione personae non retroaktif.</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24 dinyatakan bahwa Tidak seorangpun bertanggnng jawab secara pidana berdasarkan Statuta ini atas perbuatan yang dilakukan sebeium diberlakukannya Statuta ini dan dalam hal ada perubahan dalam hukum yang dapat diterapkan kepada suatu kasus tertentu sebelum keputusan akhir pengadilan, maka berlaku hukum yang lebih menguntungkan bagi orang yang sedang diselidiki, dituntut atau dihukum.</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12).</w:t>
      </w:r>
      <w:r w:rsidRPr="009701A9">
        <w:rPr>
          <w:rFonts w:ascii="Arial" w:hAnsi="Arial" w:cs="Arial"/>
          <w:sz w:val="24"/>
          <w:szCs w:val="24"/>
        </w:rPr>
        <w:tab/>
        <w:t xml:space="preserve">Prinsip unsur mental.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30 dinyatakan bahwa kecuali kalau ditetapkan lain, seseorang bertanggung jawab secara pidana dan dapat dijatuhi hukuman atas suatu kejahatan yang berada dalam yurisdiksi Mahkamah pidana internasional hanya kalau unsur materil itu dilakukan dengan sengaja dan sadar.</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13).</w:t>
      </w:r>
      <w:r w:rsidRPr="009701A9">
        <w:rPr>
          <w:rFonts w:ascii="Arial" w:hAnsi="Arial" w:cs="Arial"/>
          <w:sz w:val="24"/>
          <w:szCs w:val="24"/>
        </w:rPr>
        <w:tab/>
        <w:t xml:space="preserve">Prinsip penghapusan tanggung jawab pidana.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lastRenderedPageBreak/>
        <w:t>Dalam Pasal 31 ditegaskan bahwa:</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Sakit ingatan atau cacat mental;</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Dalam keadaan keracunan;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Pembelaan diri atau orang lain, barang yang masuk akal;</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Tekanan yang timbul dari ancaman kematian yang segera terjadi atau kerugian fisik secara serius dan orang tersebut bertindak seperlunya dan masuk akal untuk menghindari ancaman;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Alasan-alasan lain yang didapat prinsip-prinsip hukum umum dan Pasal (21)</w:t>
      </w:r>
      <w:r w:rsidRPr="009701A9">
        <w:rPr>
          <w:rFonts w:ascii="Arial" w:hAnsi="Arial" w:cs="Arial"/>
          <w:sz w:val="24"/>
          <w:szCs w:val="24"/>
        </w:rPr>
        <w:tab/>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14).</w:t>
      </w:r>
      <w:r w:rsidRPr="009701A9">
        <w:rPr>
          <w:rFonts w:ascii="Arial" w:hAnsi="Arial" w:cs="Arial"/>
          <w:sz w:val="24"/>
          <w:szCs w:val="24"/>
        </w:rPr>
        <w:tab/>
        <w:t xml:space="preserve"> Prinsip pembelaan karena perintah atasan.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33 dinyatakan bahwa seseorang yang bertindak sesuai dengan perintah seorang atasan baik militer maupun sipil tidak membebaskan tanggung jawab pidana orang tersebut kecuali kalau:</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Orang tersebut berada dalam kewajiban hukum untuk menuruti perintah dari pemerintah atau atasan yang bersangkutan;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Orang-orang tersebut tidak tahu bahwa perintah itu melawan hukum;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Perintah itu tidak nyata-nyata melawan hukum dan perintah yang nyata-nyata melawan hukum adalah perintah untuk melakukan genosida atau kejahatan terhadap kemanusiaan.</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15).</w:t>
      </w:r>
      <w:r w:rsidRPr="009701A9">
        <w:rPr>
          <w:rFonts w:ascii="Arial" w:hAnsi="Arial" w:cs="Arial"/>
          <w:sz w:val="24"/>
          <w:szCs w:val="24"/>
        </w:rPr>
        <w:tab/>
        <w:t xml:space="preserve">Prinsip tanggung jawab komandan dan atasan lainnya. </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28 ditegaskan bahwa Pertanggung jawaban komandan dan atasan sipil hampir sama di mana keduanya mengisyaratkan adanya;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Kekuasaan, kewenangan dan pengendalian yang secara efektif dari komandan atau atasan lainnya;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Adanya pengetahuan atau patut diketahui bahwanya sedang melakukan atau hendak melakukan kejahatan tersebut;</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Komandan dan atasan lainnya gagal untuk mengambil langkah-langkah atau tindakan yang perlu dan masuk akal untuk mencegah atau menekan perbuatan bawahannya atau mengajukan masalah itu kepada pejabat yang berwenang untuk dilakukan penyelidikan dan penuntutan.</w:t>
      </w:r>
    </w:p>
    <w:p w:rsidR="00633063" w:rsidRPr="009701A9" w:rsidRDefault="00633063" w:rsidP="00633063">
      <w:pPr>
        <w:spacing w:line="240" w:lineRule="auto"/>
        <w:jc w:val="both"/>
        <w:rPr>
          <w:rFonts w:ascii="Arial" w:hAnsi="Arial" w:cs="Arial"/>
          <w:sz w:val="24"/>
          <w:szCs w:val="24"/>
        </w:rPr>
      </w:pP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16</w:t>
      </w:r>
      <w:r w:rsidR="00021A20" w:rsidRPr="009701A9">
        <w:rPr>
          <w:rFonts w:ascii="Arial" w:hAnsi="Arial" w:cs="Arial"/>
          <w:sz w:val="24"/>
          <w:szCs w:val="24"/>
        </w:rPr>
        <w:t>)</w:t>
      </w:r>
      <w:r w:rsidRPr="009701A9">
        <w:rPr>
          <w:rFonts w:ascii="Arial" w:hAnsi="Arial" w:cs="Arial"/>
          <w:sz w:val="24"/>
          <w:szCs w:val="24"/>
        </w:rPr>
        <w:t>.</w:t>
      </w:r>
      <w:r w:rsidRPr="009701A9">
        <w:rPr>
          <w:rFonts w:ascii="Arial" w:hAnsi="Arial" w:cs="Arial"/>
          <w:sz w:val="24"/>
          <w:szCs w:val="24"/>
        </w:rPr>
        <w:tab/>
        <w:t xml:space="preserve">Prinsip wajib bantuan hukum.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55 Untuk mendapatkan bantuan hukum sesuai dengan pilihannya atau kalau orang itu tidak mempunyai bantuan hukum, minta agar bantuan hukum disediakan baginya, dalam setiap hal di mana kepentingan </w:t>
      </w:r>
      <w:r w:rsidRPr="009701A9">
        <w:rPr>
          <w:rFonts w:ascii="Arial" w:hAnsi="Arial" w:cs="Arial"/>
          <w:sz w:val="24"/>
          <w:szCs w:val="24"/>
        </w:rPr>
        <w:lastRenderedPageBreak/>
        <w:t>keadilan mengharuskannya dan tanpa bayaran oleh orang tersebut dalam setiap hal kalau orang itu tidak mempunyai sarana yang cukup untuk membayarnya.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17).</w:t>
      </w:r>
      <w:r w:rsidRPr="009701A9">
        <w:rPr>
          <w:rFonts w:ascii="Arial" w:hAnsi="Arial" w:cs="Arial"/>
          <w:sz w:val="24"/>
          <w:szCs w:val="24"/>
        </w:rPr>
        <w:tab/>
        <w:t xml:space="preserve">Prinsip perlindungan korban dan saksi.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57 dinyatakan apabila perlu memberikan perlindungan dan privasi kepada korban dan saksi, pemeliharaan bukti dan perlindungan orang-orang yang telah ditahan atau telah menghadap dalam memenuhi surat panggilan dan perlindungan terhadap informasi keamanan nasional.</w:t>
      </w:r>
    </w:p>
    <w:p w:rsidR="00633063" w:rsidRPr="009701A9" w:rsidRDefault="00633063" w:rsidP="00633063">
      <w:pPr>
        <w:spacing w:line="240" w:lineRule="auto"/>
        <w:jc w:val="both"/>
        <w:rPr>
          <w:rFonts w:ascii="Arial" w:hAnsi="Arial" w:cs="Arial"/>
          <w:sz w:val="24"/>
          <w:szCs w:val="24"/>
        </w:rPr>
      </w:pP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r>
      <w:r w:rsidR="00633063" w:rsidRPr="009701A9">
        <w:rPr>
          <w:rFonts w:ascii="Arial" w:hAnsi="Arial" w:cs="Arial"/>
          <w:sz w:val="24"/>
          <w:szCs w:val="24"/>
        </w:rPr>
        <w:t>Penerapan Asas Retroaktif  Dalam Mahkamah Ad hoc dan Asas Non Retroaktif Dalam Mahkamah Permanen.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Retroaktif merupakan lawan dari non retroaktif. Prinsip non retroaktif ini telah dianut oleh hampir sernua negara di dunia baik di dalam ketentuan hukum internsional maupun nasional, khususnya di dalam ketentuan hukum internasional tentang hak asasi manusia. Hal di atas dapat dilihat di dalam beberapa ketentuan hukum internasional seperti: The universal Declaration of Human rights 1948 khususnya dalam (Pasal II), The International Convention on Civil and Political Rights 1966, dalam (Pasal 15), The European Convention on Human Rights 1950, dalam (Pasal 7), The Genewa Convention Relative to the Treatmen of Psioners of War 1949, dalam (Pasal 99), dan Statuta Roma 1998 (Pasal 11)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dianutnya prinsip non retroaktif adalah untuk melindungi masyarakat dari kesewenang-wenangan penguasa. Dengan adanya asas non retroaktif, penguasa baru dapat menjatuhkan hukuman terhadap anggota masyarakat, apabila tindakan anggota masyarakat tersebut oleh suatu ketentuan hukum yang tertulis yang telah ada sebelum tindakan ini dilakukan, dianggap sebagai suatu perbuatan tindak kejahatan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kenyataan prinsip non retroaktif diterapkan secara relatif, walaupun prinsip non retroaktif ini telah diterima masyarakat dunia sebagai dasar, tetapi tetap dimungkinkan untuk dikesampingkan khusus untuk kasus tindak kejahatan berat terhadap kemanusiaan. Hal ini dapat dilihat pada penanganan kasus-kasus di Nuremberg, Rwanda, Yugoslavia dan lain-lainnya (prinsip ini di Indonesia juga dikenal dalam Undang-undang tindak pidana terorisme)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Disamping itu menurut ketentuan Pasal 15 ayat 2 dari The International Covenant on Civil and Political Rights, tidak ada suatu ketentuan yang dapat digunakan untuk menghalangi diadilinya seseorang karena suatu perbuatan yang pada waktu dilakukan telah dianggap sebagai suatu tindak pidana oleh prinsip hukum umum yang dianut oleh masyarakat bangsa-bangsa. Penerapan prinsip non retroaktif secara kaku justru mengakibatkan para pelaku pelanggaran hak asasi manusia yang berat tidak dapat diadili dan keadaaan ini justru akan mengakibatkan pelanggaran atas hak asasi manusia terhadap lebih banyak orang.</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Namun demikian para ahli hukum internasional berpendapat bahwa apa yang telah dilakukan untuk mengadili perkara-perkara pelanggaran hak asasi manusia yang berat di Nuremberg, Yugoslavia dan Rwanda bukanlah merupakan penerapan </w:t>
      </w:r>
      <w:r w:rsidR="00633063" w:rsidRPr="009701A9">
        <w:rPr>
          <w:rFonts w:ascii="Arial" w:hAnsi="Arial" w:cs="Arial"/>
          <w:sz w:val="24"/>
          <w:szCs w:val="24"/>
        </w:rPr>
        <w:lastRenderedPageBreak/>
        <w:t>prinsip retroaktif.? Pengertian prinsip non retroaktif yang termuat di dalam ketentuan-ketentuan internasional adalah sebagai berikut:</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Tidak seorangpun dapat di hukum atas suatu perbuatan yang dilakukan apabila ketika perbuatan tersebut dilakukan belum ada suatu ketentuan hukum baik nasional maupun internasional yang menyatakan perbuatan itu merupakan suatu tindak kejahatan yang harus dihukum.;</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Apabila ketika suatu perbuatan tindak kejahatan dilakukan seseorang terjadi pada waktu ketentuan perundang-undangan yang mengatur tindak kejahatan tersebut mengalami perubahan atau muncul peraturan perundang-undangan baru yang menggantikannnya, maka ketentuan yang berlaku terhadap pelaku kejahatan tersebut adalah ketentuan yang menguntungkan pelaku kejahatan yang bersangkutan.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retroaktif adalah kebalikan dari prinsip non retroaktif. Dengan demikian prinsip retroaktif berarti suatu peraturan hukum tertulis dapat diberlakukan terhadap suatu kejadian atau peristiwa yang dilakukan seseorang sebelum peraturan hukum tertulis tersebut dibuat atau ada dan apabila pada waktu seseorang melakukan tindak kejahatan terjadi perubahan atau penggantian terhadap peraturan hukum yang ada yang mengaturnya, maka yang berlaku adalah peraturan hukum yang baru. Berdasarkan kasus-kasus yang pemah ada, prinsip retroaktif ini hanya berlaku terhadap kasus-kasus mengenai kejahatan berat terhadap kemanusiaan yaitu tindak kejahatan genocide, kejahatan terhadap kemanusiaan, kejahatan perang dan agresi.</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Pemikiran tentang hak asasi manusia memainkan pe</w:t>
      </w:r>
      <w:r w:rsidRPr="009701A9">
        <w:rPr>
          <w:rFonts w:ascii="Arial" w:hAnsi="Arial" w:cs="Arial"/>
          <w:sz w:val="24"/>
          <w:szCs w:val="24"/>
        </w:rPr>
        <w:t xml:space="preserve">ranan kunci dalam akhir abad </w:t>
      </w:r>
      <w:r w:rsidR="00633063" w:rsidRPr="009701A9">
        <w:rPr>
          <w:rFonts w:ascii="Arial" w:hAnsi="Arial" w:cs="Arial"/>
          <w:sz w:val="24"/>
          <w:szCs w:val="24"/>
        </w:rPr>
        <w:t>ke-18 dan awal abad ke-19, dalam perjuangan melawan absolutisme politik. Setelah perang dunia kedua isue tentang perlindungan terhadap hak asasi manusia semakin keras, terutama disebabkan oleh banyaknya manusia yang mengalami penderitaan dan meninggal dunia akibat perbuatan manusia yang mempunyai kekuasaan yang dalam hal ini dilakukan oleh tentara-tentara Nazi jerman pada masa perang dunia kedua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Oleh sebab itu setelah perang dunia ke - 2 untuk mencegah terjadinya pengulangan kekerasan terhadap kemanusiaan di masa yang akan datang, Negara-negara pemenang perang dunia ke-2 kemudian membuat The Charter International Military Tribunal For The Tribunal Of The Major War Criminals yang beirisi ketentuan-ketentuan hukum normatif tentang kejahatan-kejahatan yang bertentangan dengan perdamaian, kejahatan perang dan kejahatan terhadap kemanusiaan (Nusantara, 2001 :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Charter ini dijadikan dasar untuk mengadili para pejabat militer Nazi yang melakukan kejahatan perang. Ketentuan-ketentuan hukum di dalam charter tersebut di atas merupakan ketentuan hukum yang dibuat setelah perbuatan jahat yang dilakukan oleh tentara Nazi. Hal ini berarti charter di atas telah diterapkan secara retroaktif terhadap kejahatan-kejahatan perang yang dilakukan oleh tentara-tentara Nazi di Nuremberg (Nusantara, 2001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di atas dapat ditarik suatu kesimpulan bahwa dasar dan diterapkannya prinsip retroaktif untuk pertama kalinya demi prinsip keadilan (principle of justice) karena pada waktu itu sama sekali belum ada suatu ketentuan </w:t>
      </w:r>
      <w:r w:rsidR="00633063" w:rsidRPr="009701A9">
        <w:rPr>
          <w:rFonts w:ascii="Arial" w:hAnsi="Arial" w:cs="Arial"/>
          <w:sz w:val="24"/>
          <w:szCs w:val="24"/>
        </w:rPr>
        <w:lastRenderedPageBreak/>
        <w:t>baik secara internasional maupun nasional yang mengatur tentang kejahatan perang, namun demikian perbuatan tentara-tentara Nazi tersebut dirasakan oleh masyarakat Internasional sebagai perbuatan yang amat kejam dan amat bertentangan dengan moral manusia serta yang menjadi korban amat banyak sekali. Apabila para pelaku tersebut di atas justru tidak diadili dengan alasan akan melanggar hak asasinya maka justru perbuatan tersebut akan mengakibatkan pelangggaran terhadap prinsip keadilan, karena akan mengakibatkan pelanggaran hak asasi manusia yang lebih besar dan parah demi suatu prinsip non retroaktif yang kaku.</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Diadilinya mereka secara retroaktif justeru untuk menegakkan hak asasi manusia  yang telah mereka langgar. Pengadilan yang mengadili tentara-tentara Nazi secara retroaktif tersebut dimulai pada tanggal 20 November 1945 sampai dengan 1 Oktober 1946 yang paling terkenal adalah pengadilan terhadap Adolf Eichman (Anonimous, 2003c). Pada waktu itu Eichman mengatakan bahwa terhadapnya tidak boleh diperlakukan peraturan yang baru dibuat tersebut (charier) karena melanggar prinsip non retroaktif namun Tribunal berpendapat bahwa alasan non retroaktif tidak dapat dijadikan sebagai alasan untuk membebaskan orang dari tanggung jawabnya atas perbuatan yang demikian rupa berat dan jahatnya yang dalam hai ini adalali Genocide. Menurut Tribunal tersebut pada akhirnya keadilanlah yang harus diutamakan. Dalam hal ini prinsip keadilan mengenyampingkan prinsip non retroaktif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Berdasarkan perkembangan hukum selanjutnya menurut para ahli hukum hak asasi manusia prinsip keadilan itu adalah prinsip yang diakui oleh hukum oleh masyarakat internasional. Oleh karena itu dianggap sebagai lnternasional Customary Law. Sehingga dengan demikian menurut mereka dalam perkara Adolf Eichman prisnsip retroaktif tidak diterapkan karena tidak ada penciptaaan hukum baru dalam Charter tersebut, tetapi hanya sebagai pemberlakuan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dibentuk the International Military Tribunal For The Far East untuk mengadili tentara-tentara Jepang yang melakukan kejahatan di masa perang dunia kedua disini prinsip retroaktif diberlakukan kembali dengan alasan yang sama dengan pengadilan para pejabat negara di Nuremberg yaitu pemberlakuan prinsip keadilan yang sudah menjadi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Untuk mengadili kasus-kasus Yugoslavia telah dibentuk Statuta tentang The International Criminal Tribunal For Former Yugoslavia Oleh Badan Keamanan PBB berdasarkan Chapter VII. Dari United Nations Charter. Kemudian berdasarkan Statuta tersebut dibentuk Tribunal Ad Hoc untuk para pelaku kejahatannya. Apabila dilihat dan segi pembentukan Statuta dari lnternasional Criminal Tribunal of Yugoslavia dan saat terjadinya kejahatan maka Statuta tersebut dibentuk setelah kejahatan yang dimaksud terjadinya di Yugoslavia dan Statuta tersebut diberlakukan untuk mengadili kejahatan yang bersangkutan. Ini berarti Statuta dan International Criminal Tribunal of </w:t>
      </w:r>
      <w:r w:rsidRPr="009701A9">
        <w:rPr>
          <w:rFonts w:ascii="Arial" w:hAnsi="Arial" w:cs="Arial"/>
          <w:sz w:val="24"/>
          <w:szCs w:val="24"/>
        </w:rPr>
        <w:t>Yugo</w:t>
      </w:r>
      <w:r w:rsidR="00633063" w:rsidRPr="009701A9">
        <w:rPr>
          <w:rFonts w:ascii="Arial" w:hAnsi="Arial" w:cs="Arial"/>
          <w:sz w:val="24"/>
          <w:szCs w:val="24"/>
        </w:rPr>
        <w:t>slavia telah diberlakukan secara retroaktif terhadap pelaku tindakan kejahatan yang melanggar hak asasi manusia di Yugoslavia.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Tapi apabila ditinjau lebih lanjut pembentukan Statuta tersebut tidak menciptakan hukum baru yang menciptakan suatu tindak kejahatan baru, karena statuta itu hanya merealisasikan nilai-nilai hukum yang hidup di dalam masyarakat </w:t>
      </w:r>
      <w:r w:rsidR="00633063" w:rsidRPr="009701A9">
        <w:rPr>
          <w:rFonts w:ascii="Arial" w:hAnsi="Arial" w:cs="Arial"/>
          <w:sz w:val="24"/>
          <w:szCs w:val="24"/>
        </w:rPr>
        <w:lastRenderedPageBreak/>
        <w:t>lnternasional. Disamping itu apabila diperhatikan isinya Statuta ini juga telah mengadopsi isi dari ketentuan- ketentuan internasional yang telah ada sebelum Statuta tersebut dibuat, yaitu Jenewa Convention The Haque Convention dan Convention on Prevention and Punishment of the Crimes of Genocide. Oleh sebab itu apabila dilihat dari uraian di atas maka para ahli hukum internasional berpendapat bahwa dalam kasus di atas tidak terjadi penerapan hukum secara retroaktif.</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pada tanggal 8 November 1994 dibentuk Statuta tentang International Criminal Tribunal of Rwanda berdasarkan Resolusi Dewan Keamanan PBB yang diadopsi dari Chapter 7 United Nations Charter, berdasarkan statuta tersebut dibentuk suatu Tribunal ad hoc untuk mengadili kasus-kasus pelanggaran hak asasi manusia yang berat di Rwanda. Sama seperti penanganan kasus di Yugoslavia apabila dilihat dari pembentukan Statutanya dan waktu terjadinya kejahatan di Rwanda, maka Statuta yang akan diterapkan terhadap kejahatan yang dimaksud dibentuk setelah kejahatan yang diatur dalam Statuta tersebut terjadi di Rwanda.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Ini berarti Statuta itu telah diterapkan secara retroaktif terhadap pelaku kejahatan berat di Rwanda. Para ahli hukum HAM internasional berpendapat Statuta tentang internasional Criminal Tribunal of Rwanda bukan merupakan penciptaaan hukum baru yang menciptakan suatu bentuk kejahatan yang baru tetapi merupakan gambaran atau realisasi dari nilai-nilai hukum yang hidup dalam masyarakat internasional yang telah ada sebelum kejahatan di Rwanda di lakukan, yaitu Konvensi Jenewa.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Penerapan asas legalitas atau non retroaktif di dalam hukum internasional tidak sama ketatnya dengan penerapan di dalam hukum nasional karena kekhasannya masing-masing. Disamping itu sumber hukum internasional adalah kebiasaan-kebiasaan dan merupakan international customary law yang diterapkan demi untuk menegakkan prinsip keadilan (principle justice).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diterapkan prinsip non retroaktif adalah demi untuk melindungi hak asasi manusia agar penguasa tidak sewenang-wenang membuat hukum untuk menghukum warga negaranya. Oleh sebab itu prinsip ini secara filosofi tidak boleh digunakan untuk meilndungi orang-orang yang justeru melakukan pelanggaran terhadap hak asasi manusia.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ini tidak boleh dijadikan sebagai dalih untuk membebaskan pelaku kejahatan terhadap hak asasi manusia apabila hal itu terjadi maka tujuan dari prinsip non retroaktif tidak lagi ada. Oleh sebab ini prinsip retroaktif tidak bisa dijalankan secara kaku, tetapi harus dilakukan secara relatif dengan demikian prinsip retroaktif sepanjang untuk menerapkan prinsip keadilan dan demi untuk melindungi hak asasi manusia dapat diterapkan sebagai pengecualian dengan syarat penerapannya harus berdasarkan international customary law (Muladi, 2001:1).</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Asas legalitas merupakan asas fundamental dalam hukum pidana bagi sebagian besar sistem hukum negara-negara di dunia terutama yang menganut sistem hukum tertulis. Yang dimaksud dengan asas legalitas adalah: (Muladi, 2001: 1).</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nullum crimen sine lege (tiada kejahatan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lastRenderedPageBreak/>
        <w:t>b.</w:t>
      </w:r>
      <w:r w:rsidRPr="009701A9">
        <w:rPr>
          <w:rFonts w:ascii="Arial" w:hAnsi="Arial" w:cs="Arial"/>
          <w:sz w:val="24"/>
          <w:szCs w:val="24"/>
        </w:rPr>
        <w:tab/>
        <w:t>nulla poena sine lege  (tiada pidana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c.</w:t>
      </w:r>
      <w:r w:rsidRPr="009701A9">
        <w:rPr>
          <w:rFonts w:ascii="Arial" w:hAnsi="Arial" w:cs="Arial"/>
          <w:sz w:val="24"/>
          <w:szCs w:val="24"/>
        </w:rPr>
        <w:tab/>
        <w:t>nulla poena sine crimine (tiada pidana tanpa kejahatan);</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nullum crimen sine lege praevia (tiada kejahatan tanpa undang-undang sebelumnya)</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Larangan untuk menerapkan ex post facto criminal law dan penerapan non retroaktif application of criminal laws and criminal sanctions lex certa (Undang-undang harus dirumuskan sesempit, sejelas dan setajam mungkin serta harus dapat dipercaya). Tujuan dari asas legalitas di atas adalah untuk memperkuat kepastian hukum, menciptakan keadilan dan kejujuran bagi terdakwa mengefektifkan deterrent function dari saksi pidana mencegah penyalahgunaan kekuasaan dan memperkokoh penerapan rule of law (Muladi, 2001:2)</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Penerapan asas ini bagi setiap negara di dunia berbeda-beda tergantung pada sistem pemerintahannya dan sistem hukum yang dianut. Bagi negara-negara yang menganut sistem hukum Eropa Kontinental penerapan asas legalitasnya akan lebih kaku dibandingkan dengan negara-negara yang menganut sistem common law. Hal ini disebabkan pada mulanya sebelum revolusi Perancis asas legalitas di negara-negara Eropah kontinental dijadikan sebagai alat untuk membatasi kekuasaan rezim absolut. Sementara itu di negara- negara penganut system common law asas legalitas tidak begitu menonjol karena mereka sejak tahun 1215 telah menerapkan prinsip rule of law dengan konsep due process of law dan didukung oleh hukum acara yang baik. Bagi mereka penerapan analoginya merupakan basis pembaharuan hukum.</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r>
      <w:r w:rsidR="00633063" w:rsidRPr="009701A9">
        <w:rPr>
          <w:rFonts w:ascii="Arial" w:hAnsi="Arial" w:cs="Arial"/>
          <w:sz w:val="24"/>
          <w:szCs w:val="24"/>
        </w:rPr>
        <w:t>Tanggung Jawab Negara Dalam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Teori tanggung jawab negara dalam setiap sistem hukum menunjukkan harus ada tanggung jawab atas kegagalan melaksanakan kewajiban yang dibebankan oleh peraturan- peraturan hukum. Hukum nasional membedakan antara tanggung jawab perdata dan tanggung jawab pidana yang didasarkan atas perbuatan sengaja atau kelalaian atau kealpaan yang merupakan pelanggaran terhadap hukum tersebut. Dalam hukum internasional tanggung jawab timbul karena pelanggaran kewajiban yang dibebankan oleh hukum internasional (Rover, 2000 : 21).</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Terhadap perkara pelanggaran hak asasi manusia yang berat diperlukan langkah- langkah penyelidikan, penyidikan, penuntutan dan pemeriksaan yang bersifat khusus. Kekhususan dalam penanganan pelanggaran hak asasi manusia yang berat (Dirdjosisworo, 2002: 17). Prinsip-prinsip tanggung jawab yang dikenal di dalam perlindungan hak asasi manusia pada mulanya di dalam suatu konvensi internasional yaitu di Den Haag Convention 1907 yang berprinsip bahwa negaralah yang bertanggung jawab untuk melindungi dan menjamin hak-hak asasi manusia karena itu berdasarkan konvensi Denhaag tersebut bahwa individu tidak dapat diminta pertanggung jawaban.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Konvensi tersebut antara lain menyatakan bahwa hukum kemanusiaan (laws of humanity) merupakan dasar bagi perlindungan pihak yang berperang (kombatan) maupun penduduk sipil dalam suatu sengketa bersenjata. Kemudian ketika pada tahun 1915 terjadi pembunuhan besar-besaran terhadap warga negara Turki </w:t>
      </w:r>
      <w:r w:rsidR="00633063" w:rsidRPr="009701A9">
        <w:rPr>
          <w:rFonts w:ascii="Arial" w:hAnsi="Arial" w:cs="Arial"/>
          <w:sz w:val="24"/>
          <w:szCs w:val="24"/>
        </w:rPr>
        <w:lastRenderedPageBreak/>
        <w:t>keturunan Armenia yang mengundang intervensi humaniter dari Inggris, Perancis dan Rusia, peristiwa tersebut digolongkan kedalam kejahatan terhadap kemanusiaaan dan peradaban (crimes against huimanity and civilization) (Manan, 2001b: 2).</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Sejak itu kemudian diakui oleh masyarakat internasional bahwa negara harus bertanggung jawab atas kejahatan terhadap kemanusiaan yang dilakukan terhadap warga negaranya (Manan, 2001b:2). Pemikiran pada saat itu sedemikian rupa sehingga dibentuklah suatu organ PBB yang disebut dengan International Court Justice dimana dalam Statuta International Court Justice tersebut mengisyaratkan bahwa para pihak yang bisa berperkara di ICJ adalah negara-negara.</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r>
      <w:r w:rsidR="00633063" w:rsidRPr="009701A9">
        <w:rPr>
          <w:rFonts w:ascii="Arial" w:hAnsi="Arial" w:cs="Arial"/>
          <w:sz w:val="24"/>
          <w:szCs w:val="24"/>
        </w:rPr>
        <w:t>Tanggung Jawab Pidana Perorangan Dalam Putusan Tribunal dan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Selesai perang dunia ke dua, Pengadilan Militer International (International Military Tribunal) di Nuremberg, membedakan antara kejahatan perang dan kejahatan terhadap kemanusiaan. Pada Pasal 6 Piagam London (London Charter), merumuskan kejahatan perang (war crimes) sebagai : “pelanggaran terhadap hukum dan kebiasaan perang yang meliputi antara lain, pembunuhan, perlakuan kejam atau deportasi secara paksa untuk dijadikan sebagai budak yang dilakukan terhadap penduduk sipil”.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Kejahatan terhadap kemanusiaan termasuk di dalamnya, pembunuhan, pemusnahan, perbudakan, deportasi dan perbuatan tidak manusiawi lainnya yang dilakukan terhadap penduduk sipil baik yang dilakukan sebelum atau ketika perang sedang berlangsung. Kejahatan terhadap kemanusiaan inipun meliputi penyiksaan terhadap penduduk sipil yang didasarkan kepada alasan-alasan politik rasional ataupun agama. Apabila dihubungkan dengan prinsip tanggung jawab negara, maka perlakuan kejahatan terhadap hak asasi manusia seperti peristiwa di Nurembeg dan Tokyo tidak dapat diminta atas pelanggaran-pelanggaran hak asasi manusia tersebut. Dalam hal yang demikian ini akan terjadi kemacetan memperoleh keadilan atau yang dikenal dengan impunity.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pembasmian orang Yahudi di Jerman prinsip pertanggung jawaban negara ini sudah ditinggalkan terbukti dari putusan Tribunal untuk Nuremberg terhadap perkara Adolf Eichman yang menyatakan bawah pelanggaran terhadap hak asasi manusia di samping pertanggung jawaban negara dapat pula dimintakan pertanggung jawaban individu, sebagaimana dikutip dari putusan Tribunal Nuremberg tersebut sebagai berikut: “that international law imposes dutte and lianilities upon individual as will as upon states has long been recognized crimes against international law are commited by men, not by abstract entities and only by punishing individual who commit such crimers can the provisions of international law a be enforced;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tersebut di atas dengan kata lain dapat dinyatakan bahwa individu- individu harus bertanggung jawab terhadap perbuatannya atas pelanggaran hak asasi nanusia, tidak pula dapat dijadikan sebagai alasan untuk imitigasi, sebagaimana dikutip dari Nurember Charters article 7: "the official position of defendants whether as heads of state or responsible official in government </w:t>
      </w:r>
      <w:r w:rsidR="00633063" w:rsidRPr="009701A9">
        <w:rPr>
          <w:rFonts w:ascii="Arial" w:hAnsi="Arial" w:cs="Arial"/>
          <w:sz w:val="24"/>
          <w:szCs w:val="24"/>
        </w:rPr>
        <w:lastRenderedPageBreak/>
        <w:t>department, shall not be considered as freeing them from responsibility or mitigating punishment”</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individu-individu yang telah melakukan pelanggaran hak asasi manusia yang berat menyampaikan definisinya bahwa mereka semata-mata melakukan perintah atasan atau karena perintah komando. Misalnva sebagaimana yang diajukan atas nama terdakwa-terdakwa di Nuremberg Tribunal yang menyatakan bahwa apa yang mereka lakukan semata-mata hanya karena perintah Hitler sebagai atasannya, sehingga perbuatan-perbuatannya yang dilakukan tersebut tidak dapat dimintakan pertanggungjawaban kepada mereka. Namun untuk ini Charter Nuremberg telah mengantisipasinya dalam Pasal 8 sebagaimana dikutip di bawah ini .“The fact that defendand acted pursuant to order of his government or of a superior shall not free him from responsibility, but maybe considered in mitigation of punishment'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6 Piagam Nurember juga ditegaskan tanggung jawab individual dari pelaku kejahatan-kejahatan yang dimaksud. Ini berarti pelaku kejahatan tidak dapat berdalih bahwa perbuatannya tersebut untuk kepentingan atau karena perintah negara. Dengan demikian setiap pelaku ketiga kejahatan tersebut di atas tidak dapat kemudian menggunakan dalih tanggung jawab negara (state responsibility).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7 Piagam Mahkamah Nuremberg, dikatakan dengan tegas bahwa kedudukan resmi dari si pelaku, baik sebagai kepala negara atau sebagai pejabat yang bertanggung jawab didalam institusi pemerintah tidak dapat dijadikan alasan untuk membebaskan yang bersangkutan dari tanggung jawabnya atau untuk mengurangi hukuman yang dijatuhkan. Kemudian dalam Pasal 8 dinyatakan bahwa si pelaku melakukan kejahatan tersebut karena perintah dari pemerintahnya atau karena perintah atasannya, juga tidak dapat dijadikan alasan untuk membebaskan tanggung jawab si pelaku, tetapi hal tersebut dapat dijadikan dasar untuk mengurangi hukuman yang dijatuhkan oleh Mahkamah (Cormack dan Simpson, 1997: 174).</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Dari uraian tersebut di atas dapat dinyatakan bahwa alasan karena perintah atasan tidak dapat membebaskan bawahan. Memang hukum militer didasarkan kepada sistem hirarki yang menuntut ketaatan dari bawahan terhadap perintah atasan. Oleh karena itu heran kalau pada jaman Dinasti (Thing dinyatakan bahwa Jenderal yang bertanggung jawab atas perbuatan prajuritnya-prajuritnya, karena bawahan tidak mungkin tidak taat kepada perintah atasan (Anonimous, 2003c). Dengan kata lain bahwa jenderal yang sebenarnya melakukan perbuatan dengan perpanjangan tangan para prajurit-prajurit. Ketaatan di sini meniadakan tanggung jawab bawahan disebabkan karena tanggung jawab atasan, namun hal ini tidak sepenuhnya dapat diterima oleh karena prajurit-prajurit tersebut tidak diciptakan sebagai robot atau mesin yang tidak mempunyai pikiran.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Sejarah mencatat bahwa alasan perintah atasan terjadi pada taliun 1472 di Jerman kemudian berturut-turut di Inggris pada tahun 1660, di Amerika Serikat pada tahun 1812 juga ketika jaman peperangan Napoleon. Dan berbagai rumusan putusan-putusan pengadilan dapat dinyatakan apabila seorang bawahan diperintahkan oleh atasan untuk pergi kejalan dan membunuh seseorang, maka bawahan tidak terikat pada perintah tersebut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lastRenderedPageBreak/>
        <w:tab/>
      </w:r>
      <w:r w:rsidR="00633063" w:rsidRPr="009701A9">
        <w:rPr>
          <w:rFonts w:ascii="Arial" w:hAnsi="Arial" w:cs="Arial"/>
          <w:sz w:val="24"/>
          <w:szCs w:val="24"/>
        </w:rPr>
        <w:t>Dari putusan-putusan pengadilan yang menghukum tentara yang melakukan pembunuhan-pembunuhan di Vietnam menyebutkan: "Pengeluaran dan pelaksanaan suatu perintah pembunuhan dalam keadaan dari kasus ini tidak dapat dibenarkan menurutnya hukum nasionalnya prinsip-pnnsip hukum internasional atau hukum perang. Perintah seperti ini adalah diluar lingkup dari kewenangan dari atasan memberikan perintah untuk memberikannya dan jelas-jelas melanggar hukum.</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Contoh putusan lain kasus pembantaian di My Lai (Song My) oleh Hakim </w:t>
      </w:r>
      <w:r w:rsidR="00DD211F" w:rsidRPr="009701A9">
        <w:rPr>
          <w:rFonts w:ascii="Arial" w:hAnsi="Arial" w:cs="Arial"/>
          <w:sz w:val="24"/>
          <w:szCs w:val="24"/>
        </w:rPr>
        <w:t xml:space="preserve"> </w:t>
      </w:r>
      <w:r w:rsidR="00633063" w:rsidRPr="009701A9">
        <w:rPr>
          <w:rFonts w:ascii="Arial" w:hAnsi="Arial" w:cs="Arial"/>
          <w:sz w:val="24"/>
          <w:szCs w:val="24"/>
        </w:rPr>
        <w:t>Lt. Galley mengatakan: “ketaaatan/kepatuhan seorang prajurit bukanlah suatu ketaatan orang secara otomatis; seorang tentara adalah seorang agen yang memiliki akal, wajib bertanggung jawab, tidak sebagai mesin, tetapi sebagai manusia. Faktor-faktor di atas ini diperhitungkan oleh hukum dalam menentukan penilaian adanya tanggung jawab kriminal dan perbuatan yang dilakukan sesuai dengan perintah yang tidak sah.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Pertanggungjawaban pidana individu ini berkembang lagi pada International Criminal Tribunal Yugoslavia (ICTY) tahun 1993 yang mengadili perkara-perkara pelanggaran hak asasi manusia yang terjadi di bekas Yugoslavia dan pada International Criminal Tribunal of Rwanda tahun 1994 yang mengadili perkara-perkara pelanggaran hak asasi manusia yang berat di Rwanda.</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Memang kedua pengadilan inte</w:t>
      </w:r>
      <w:r w:rsidR="00131CC1" w:rsidRPr="009701A9">
        <w:rPr>
          <w:rFonts w:ascii="Arial" w:hAnsi="Arial" w:cs="Arial"/>
          <w:sz w:val="24"/>
          <w:szCs w:val="24"/>
        </w:rPr>
        <w:t>r</w:t>
      </w:r>
      <w:r w:rsidR="00633063" w:rsidRPr="009701A9">
        <w:rPr>
          <w:rFonts w:ascii="Arial" w:hAnsi="Arial" w:cs="Arial"/>
          <w:sz w:val="24"/>
          <w:szCs w:val="24"/>
        </w:rPr>
        <w:t>nasional tersebut yaitu ICTY dan ICTR tetap menggunakan prinsip-prinsip Nuremberg, terutama di dalam hal menuntut pertanggungjawaban pelaku secara individual. Keputusan-keputusan Mahkamah Nuremberg dan juga Tokyo tidak secara jelas menerangkan konsep pertanggungjawaban pidana secara individual akan tetapi di ICTY dan ICTR telah mulai membicarakan faktor- faktor pertanggungjawaban yang sebelumnya tidak pemah dibicarakan di Tribunal Nuremberg yaitu:</w:t>
      </w:r>
    </w:p>
    <w:p w:rsidR="00633063" w:rsidRPr="009701A9" w:rsidRDefault="00633063" w:rsidP="00A33B4F">
      <w:pPr>
        <w:spacing w:line="240" w:lineRule="auto"/>
        <w:ind w:left="720"/>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Kehendak atau mainstream atau dengan sengaja atau atas pengetahuan terhadap tindakan-tindakan di mana ia berpartisipasi dan putusan yang disadarinya untuk berpartisipasi dalam melakukan suatu kejahatan;</w:t>
      </w:r>
    </w:p>
    <w:p w:rsidR="00633063" w:rsidRPr="009701A9" w:rsidRDefault="00633063" w:rsidP="003A1AAE">
      <w:pPr>
        <w:spacing w:line="240" w:lineRule="auto"/>
        <w:ind w:left="720"/>
        <w:jc w:val="both"/>
        <w:rPr>
          <w:rFonts w:ascii="Arial" w:hAnsi="Arial" w:cs="Arial"/>
          <w:sz w:val="24"/>
          <w:szCs w:val="24"/>
        </w:rPr>
      </w:pPr>
      <w:r w:rsidRPr="009701A9">
        <w:rPr>
          <w:rFonts w:ascii="Arial" w:hAnsi="Arial" w:cs="Arial"/>
          <w:sz w:val="24"/>
          <w:szCs w:val="24"/>
        </w:rPr>
        <w:t xml:space="preserve">b. </w:t>
      </w:r>
      <w:r w:rsidRPr="009701A9">
        <w:rPr>
          <w:rFonts w:ascii="Arial" w:hAnsi="Arial" w:cs="Arial"/>
          <w:sz w:val="24"/>
          <w:szCs w:val="24"/>
        </w:rPr>
        <w:tab/>
        <w:t>Partisipasi atau peran atau tindakan atau perbuatannya yang memberikan kontribusi kepada suatu perbuatan yang jahat.</w:t>
      </w:r>
    </w:p>
    <w:p w:rsidR="003A1AAE" w:rsidRPr="009701A9" w:rsidRDefault="003A1AAE" w:rsidP="003A1AAE">
      <w:pPr>
        <w:spacing w:line="240" w:lineRule="auto"/>
        <w:jc w:val="both"/>
        <w:rPr>
          <w:rFonts w:ascii="Arial" w:hAnsi="Arial" w:cs="Arial"/>
          <w:sz w:val="24"/>
          <w:szCs w:val="24"/>
        </w:rPr>
      </w:pPr>
      <w:r w:rsidRPr="009701A9">
        <w:rPr>
          <w:rFonts w:ascii="Arial" w:hAnsi="Arial" w:cs="Arial"/>
          <w:color w:val="FF0000"/>
          <w:sz w:val="24"/>
          <w:szCs w:val="24"/>
        </w:rPr>
        <w:tab/>
      </w:r>
      <w:r w:rsidRPr="009701A9">
        <w:rPr>
          <w:rFonts w:ascii="Arial" w:hAnsi="Arial" w:cs="Arial"/>
          <w:sz w:val="24"/>
          <w:szCs w:val="24"/>
        </w:rPr>
        <w:t>Selanjutnya di dalam Pasal 7 ayat (3) Statuta Tribunal Yugoslavia menyatakan bahwa tindakan-tindakan sebagaimana dituangkan di dalam Pasal 2-5 Statuta tersebut. Pelanggaran-pelanggaran hak asasi manusia yang dilakukan bawahan tidak melepaskan tanggung jawab pidana atasan jika dia mengetahui atau mempunyai alasan untuk mengetahui bahwa bawahan tersebut akan melakukan tindakan-tindakan yang demikian atau bilamana tindakan tersebut telah dilakukan tetapi seorang atasan gagal atau lalai untuk mengambil tindakan-tindakan yang perlu dan beralasan untuk mencegah tindakan-tindakan yang demikian atau menjatuhkan penghukuman terhadap pelaku-pelaku tindakan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 xml:space="preserve">Selanjutnya pimpinan militer atau orang lain yang menduduki posisi atasan dapat diminta pertanggungjawaban kriminalnya atas tindakan-tindakan yang melawan hukum dari bawahannya. Ini merupakan suatu norma yang telah di terima baik sebagai hukum kebiasaan internasional, pertanggungjawaban kriminal ini boleh </w:t>
      </w:r>
      <w:r w:rsidRPr="009701A9">
        <w:rPr>
          <w:rFonts w:ascii="Arial" w:hAnsi="Arial" w:cs="Arial"/>
          <w:sz w:val="24"/>
          <w:szCs w:val="24"/>
        </w:rPr>
        <w:lastRenderedPageBreak/>
        <w:t>muncul dari tindakan- tindakan positif dari atasan tersebut. Kadang-kadang dihubungkan dengan pertanggungjawaban Komando langsung atau dari tindakan pembiaran yang salah dan atasan tersebut (pertanggungjawaban komando secara tidak langsung).</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Dari uraian di atas seorang atasan dapat diminta pertanggungjawaban pidana tidak halnya karena memerintah, menghasut dan merencanankan tindakan-tindakan kriminal yang dilakukan oleh bawahannya, tetapi juga karena kegagalannya atau kelalaiannya untuk mengambil tindakan-tindakan preventif atau represif atas tindakan-tindakan yang melanggar hukum dari bawahan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komando ini juga didiskusikan di ICTY dalam perkara Akayesu sebagaimana yang disebutkan di dalam point 488 dari putusan tersebutmenyatakan banyak pandangan yang berhubungan dengan Pre Trial ini juga termasuk sistem persidangan yang digunakan pada system common law. Pada pemeriksaan kasus oleh Tribunal Rwanda dan Yugoslavia juga menggunakan sistem persidangan dengan Pre Trial, selanjutnya ketika Statuta Roma dibentuk, system Pre Trial diadopsi sebagai suatu sistem yang digunakan di dalam mengadili perkara-perkara pelanggaran hak asasi manusia yang berat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Mainstream yang memberi persyaratan terhadap pertanggung jawaban komando. Menurut suatu pandangan, pertanggung jawaban tersebut diturunkan dari peraturan hukum strict liability di mana seorang atasan bertanggung jawaban secara kriminalitas tindakan- tindakan yang dilakukan oleh bawahannya tanpa perlu untuk membuktikan kehendak jahat dari atasan tersebut. Pandangan yang lain juga berpendapat bahwa kelalaian yang begitu serius adalah merupakan hal yang serupa dengan pemberian izin atau niat jahat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individu yang diatur di dalam Statuta Roma 1998.Pada pokoknya sesuai dengan Mahkamah ad hoc Yugoslavia dan Rwanda. Hal ini dapat dilihat di dalam Pasal 25 yaitu: (Anonimous, 2000).</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Mahkamah mempunyai yurisdiksi atas orang (natural person) sesuai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Seseorang yang meiakukan kejaiiatan di dalam yurisdiksi Mahkamah. bertanggungjawab secara individual dan dapat dikenai hukuman sesuai dengan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Sesuai dengan Statuta ini, seseorang bertanggungjawab secara pidana dan dapat dikenai hukuman atas suatu kejahatan dalam Yurisdiksi Mahkamah, kalau orang itu:</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Melakukan suatu kejahatan baik sebagai seorang pribadi bersama orang lain atau lewat seseorang iain, tanpa memandang apakah orang iain itu bertanggungjawab secara pidana;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Memerintahkan, mengusahakan atau menyebabkan dilakukannya kejahatannya semacam itu yang dalam kenyataannya memang terjadi atau percobaannya;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lastRenderedPageBreak/>
        <w:t>(c)</w:t>
      </w:r>
      <w:r w:rsidRPr="009701A9">
        <w:rPr>
          <w:rFonts w:ascii="Arial" w:hAnsi="Arial" w:cs="Arial"/>
          <w:sz w:val="24"/>
          <w:szCs w:val="24"/>
        </w:rPr>
        <w:tab/>
        <w:t>Untuk keperluan mempermudah dilakukannya kejahatan yang tersebut membantu, bersekongkol atau tidak menolong dilakukan atau percobaan untuk melakukannya termasuk menyediakan sarana untuk melakukannya;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Dengan suatu cara lain menyumbang atas dilakukannya atau percobaan dilakukan kejahatan tersebut oleh sekelompok orang yang bertindak dengan suatu tujuan bersama, sumbangan tersebut haruslah bersifat sengaja dan haruslah:</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Dilakukan dengan tujuan untuk melanjutkan tindak pidana atau tujuan pidana kelompok di mana kegiatan atau tujuan tersebut mencakup dilakukannya suatu kejahatan dalam yurisidiksi Mahkamah; atau</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Dilakukan dengan mengetahui maksud dari kelompok itu kukan kejahatan;</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(e)</w:t>
      </w:r>
      <w:r w:rsidRPr="009701A9">
        <w:rPr>
          <w:rFonts w:ascii="Arial" w:hAnsi="Arial" w:cs="Arial"/>
          <w:sz w:val="24"/>
          <w:szCs w:val="24"/>
        </w:rPr>
        <w:tab/>
        <w:t>Berkenan dengan kejahatan Genocide, secara langsung atau tidak langsung menghasut orang-orang lain untuk melakukan genocide;</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(f)</w:t>
      </w:r>
      <w:r w:rsidRPr="009701A9">
        <w:rPr>
          <w:rFonts w:ascii="Arial" w:hAnsi="Arial" w:cs="Arial"/>
          <w:sz w:val="24"/>
          <w:szCs w:val="24"/>
        </w:rPr>
        <w:tab/>
        <w:t>Berusaha melakukan kejahatan semacam itu dengan melakukan tindak pidana yang memulai pelaksanaan lewat suatu iangkah penting, tapi kejahatan itu tidak terjadi karena keadaaan-keadaan yang tidak tergantung pada maksud orang tersebut, tetapi seseorang yang meninggalkan usaha untuk melakukan kejahatan itu kalau tidak mencegah dilanjutkannya kejahatan tidak dikenai hukuman berdasarkan Stauta ini atas percobaan melakukan kejahatan itu, kalau orang tersebut sama sekali dan secara sukareia meninggalkan tujuan pidana itu.</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Tidak ada ketentuan dalam Statuta ini yang berkaitan dengan tanggung jawab pidana individual akan mempengaruhi tanggung jawab negara berdasarkan hukum interasional.</w:t>
      </w:r>
    </w:p>
    <w:p w:rsidR="003B0304" w:rsidRPr="009701A9" w:rsidRDefault="003B0304" w:rsidP="003A1AAE">
      <w:pPr>
        <w:spacing w:line="240" w:lineRule="auto"/>
        <w:jc w:val="both"/>
        <w:rPr>
          <w:rFonts w:ascii="Arial" w:hAnsi="Arial" w:cs="Arial"/>
          <w:sz w:val="24"/>
          <w:szCs w:val="24"/>
        </w:rPr>
      </w:pPr>
    </w:p>
    <w:p w:rsidR="003B0304" w:rsidRPr="009701A9" w:rsidRDefault="003B0304" w:rsidP="003A1AAE">
      <w:pPr>
        <w:spacing w:line="240" w:lineRule="auto"/>
        <w:jc w:val="both"/>
        <w:rPr>
          <w:rFonts w:ascii="Arial" w:hAnsi="Arial" w:cs="Arial"/>
          <w:sz w:val="24"/>
          <w:szCs w:val="24"/>
        </w:rPr>
      </w:pPr>
      <w:r w:rsidRPr="009701A9">
        <w:rPr>
          <w:rFonts w:ascii="Arial" w:hAnsi="Arial" w:cs="Arial"/>
          <w:sz w:val="24"/>
          <w:szCs w:val="24"/>
        </w:rPr>
        <w:tab/>
        <w:t>Demikianlah diuraikan tentang beberapa parameter  standart penegakan hukum hak asasi manusia secara universal, masih ada beberapa parameter lagi sebagai acuan untuk menentukan standar penegakan hak asasi manusia, hal tersebut akan diterangkan kembali pada perkuliahan hukum dan ham di waktu mendatang.</w:t>
      </w:r>
    </w:p>
    <w:sectPr w:rsidR="003B0304" w:rsidRPr="00970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844"/>
    <w:multiLevelType w:val="hybridMultilevel"/>
    <w:tmpl w:val="1A6AC99A"/>
    <w:lvl w:ilvl="0" w:tplc="2BACC81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646BC3"/>
    <w:multiLevelType w:val="hybridMultilevel"/>
    <w:tmpl w:val="40A2E9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D5"/>
    <w:rsid w:val="00021A20"/>
    <w:rsid w:val="00023EF0"/>
    <w:rsid w:val="00035548"/>
    <w:rsid w:val="00131CC1"/>
    <w:rsid w:val="00174A91"/>
    <w:rsid w:val="00195BD4"/>
    <w:rsid w:val="002400AB"/>
    <w:rsid w:val="002C62BC"/>
    <w:rsid w:val="002D2B97"/>
    <w:rsid w:val="002E2273"/>
    <w:rsid w:val="003A1AAE"/>
    <w:rsid w:val="003B0304"/>
    <w:rsid w:val="006218DC"/>
    <w:rsid w:val="00633063"/>
    <w:rsid w:val="006F061E"/>
    <w:rsid w:val="007255D5"/>
    <w:rsid w:val="00746A71"/>
    <w:rsid w:val="0079603C"/>
    <w:rsid w:val="007A3F8C"/>
    <w:rsid w:val="00837A89"/>
    <w:rsid w:val="0088255A"/>
    <w:rsid w:val="008A11E4"/>
    <w:rsid w:val="0094574A"/>
    <w:rsid w:val="00956BBD"/>
    <w:rsid w:val="009701A9"/>
    <w:rsid w:val="00A33B4F"/>
    <w:rsid w:val="00A467D9"/>
    <w:rsid w:val="00AB3ED1"/>
    <w:rsid w:val="00C70B24"/>
    <w:rsid w:val="00CF1140"/>
    <w:rsid w:val="00DD211F"/>
    <w:rsid w:val="00F16F35"/>
    <w:rsid w:val="00FA4D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6186</Words>
  <Characters>35265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3</cp:revision>
  <dcterms:created xsi:type="dcterms:W3CDTF">2018-11-13T03:57:00Z</dcterms:created>
  <dcterms:modified xsi:type="dcterms:W3CDTF">2018-11-15T06:09:00Z</dcterms:modified>
</cp:coreProperties>
</file>