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Style w:val="10"/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Sekuritas adalah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‘secarik kertas’ yang menunjukkan hak pemilik kertas tersebut untuk memperoleh bagian dari atau kekayaan perusahaan yang menerbitkan sekuritas tersebut dan berbagai kondisi untuk melaksanakan hak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Contoh sekuritas yang populer di masyarakat antara lain saham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common stock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 xml:space="preserve">) 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obligasi.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A: Definisi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Pengertian sekuritas secara umum sudah dijelaskan di awal paragraf artikel ini.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definisi sekuritas tersebut mungkin masih terasa kompleks, marilah kita ambil contoh sekuritas yang disebut sebagai saham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common stock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kita membaca koran, surat kabar, atau website yang memuat informasi daftar harga saham yang diperjualbelikan di Bursa Efek Indonesia [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"https://www.idx.co.id/" \t "https://manajemenkeuangan.net/sekuritas-adalah/_blank" </w:instrTex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t>IDX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Kita akan melihat harga yang sangat beraneka ragam, pertanyaan yang dapat diajukan adalah: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“mengapa harga saham berbeda?”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NILAI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value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perusahaan tidak sama.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karena memiliki saham berarti ikut memiliki perusahaan, maka bagian dari prospek perusahaan akan ikut dimiliki oleh pemegang saham.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Inilah suatu contoh definisi sekuritas di atas.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B: Jenis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Secara garis besarnya, sekuritas dibagi menjadi dua, yaitu: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Sekuritas yang memberikan penghasilan tetap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Sekuritas yang memberikan penghasilan tidak tetap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Meskipun demikian konsep penilaian kedua jenis sekuritas tersebut adalah sama.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008080"/>
          <w:spacing w:val="0"/>
          <w:sz w:val="20"/>
          <w:szCs w:val="20"/>
          <w:bdr w:val="none" w:color="auto" w:sz="0" w:space="0"/>
          <w:shd w:val="clear" w:fill="FFFFFF"/>
        </w:rPr>
        <w:t>02: Konsep Penilaian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Penilaian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valuation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sekuritas adalah proses penentuan harga sekuritas atau aktiva modal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capital asset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Penilaian sekuritas adalah menggunakan konsep adanya hubungan yang positif antara risiko dengan tingkat keuntungan yang diharapkan atau diisyaratkan oleh investor.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investor bersikap tidak menyukai risiko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risk averse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), maka mereka baru bersedia mengambil suatu 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"https://manajemenkeuangan.net/keputusan-investasi-pendanaan/" \t "https://manajemenkeuangan.net/sekuritas-adalah/_blank" </w:instrTex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sans-serif" w:hAnsi="sans-serif" w:eastAsia="sans-serif" w:cs="sans-serif"/>
          <w:b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t>keputusan investasi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yang lebih berisiko bila mereka mengharapkan akan memperoleh tingkat keuntungan yang lebih tinggi.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di sini digunakan istilah tingkat keuntungan, maka yang dimaksudkan adalah keuntungan dalam persentase (atau desimal) dan bukan dalam rupiah.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jika hubungan antara risiko dan tingkat keuntungan sekuritas tersebut digambarkan, maka akan nampak seperti gambar berikut ini: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5715000" cy="3305175"/>
            <wp:effectExtent l="0" t="0" r="0" b="9525"/>
            <wp:docPr id="1" name="Picture 1" descr="investasi seku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vestasi sekurita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t>Gambar: Hubungan antara risiko dan tingkat keuntungan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Gambar di atas menunjukkan bahwa hubungan antara risiko dan tingkat keuntungan investasi sekuritas adalah bersifat positif.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008080"/>
          <w:spacing w:val="0"/>
          <w:sz w:val="20"/>
          <w:szCs w:val="20"/>
          <w:bdr w:val="none" w:color="auto" w:sz="0" w:space="0"/>
          <w:shd w:val="clear" w:fill="FFFFFF"/>
        </w:rPr>
        <w:t>03: Penilaian Sekuritas Berpenghasilan Tetap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052695" cy="3368675"/>
            <wp:effectExtent l="0" t="0" r="1905" b="9525"/>
            <wp:docPr id="2" name="Picture 2" descr="contoh seku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ntoh sekurita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336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Contoh sekuritas berpenghasilan tetap adalah obligasi.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Features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dari obligasi adalah sebagai berikut: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Mempunyai nilai nominal atau disebut juga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face value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(misalnya Rp 1.000.000)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Kapan akan dilunasi (misalnya 5 tahun)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Mempunyai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coupon rate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(misalnya 18% per tahun)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Jika kita mengabaikan kemungkinan obligasi tersebut tidak bisa dilunasi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default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Maka pembeli obligasi akan memperoleh Rp 180.000 pada tahun 1 s/d 5, ditambah pelunasan pokok pinjaman/ 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"https://manajemenkeuangan.net/pengertian-leasing-adalah/" \t "https://manajemenkeuangan.net/sekuritas-adalah/_blank" </w:instrTex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t>utang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sebesar Rp 1.000.000 pada tahun ke-5.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Arus kas yang diharapkan akan diperoleh oleh investor yang membeli obligasi tersebut dapat digambarkan sebagai berikut (semua angka dalam ribuan rupiah).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4411345" cy="1029335"/>
            <wp:effectExtent l="0" t="0" r="8255" b="12065"/>
            <wp:docPr id="7" name="Picture 3" descr="investasi seku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investasi sekurita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sans-serif" w:hAnsi="sans-serif" w:cs="sans-serif"/>
          <w:sz w:val="20"/>
          <w:szCs w:val="20"/>
        </w:rPr>
      </w:pPr>
      <w:r>
        <w:rPr>
          <w:rFonts w:hint="default" w:ascii="sans-serif" w:hAnsi="sans-serif" w:eastAsia="SimSun" w:cs="sans-serif"/>
          <w:kern w:val="0"/>
          <w:sz w:val="20"/>
          <w:szCs w:val="20"/>
          <w:lang w:val="en-US" w:eastAsia="zh-CN" w:bidi="ar"/>
        </w:rPr>
        <w:t>Contoh perhitungan investasi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Nilai pada tahun ke-0 (atau saat ini) adalah harga yang bersedia dibayar oleh para investor.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Untuk itu nilai pasar obligasi (B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bisa dihitung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895725" cy="1352550"/>
            <wp:effectExtent l="0" t="0" r="3175" b="6350"/>
            <wp:docPr id="6" name="Picture 4" descr="review sekuritas terba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review sekuritas terbai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Penjelasan rumus di atas: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F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Bunga yang dibayarkan setiap periode (t = 1 … n)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N = Nilai nominal pelunasan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 = tingkat bunga yang dianggap relevan oleh pemodal/investor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contoh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Sekarang misalkan obligasi tersebut ditawarkan ke pasar modal, investor dan para investor menginginkan tingkat keuntungan 17%.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Berapa harga sekuritas obligasi tersebut?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180/(1+0,17) + 180/(1+0,17)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…. + 180/(1+0,17)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n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Rp 1.032.000 (dibulatkan)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Harga yang bersedia dibayar lebih tinggi dari nominal karena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coupon rate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yang ditawarkan lebih tinggi dari tingkat keuntungan yang diinginkan investor.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bahwa bila tingkat bunga yang dianggap relevan oleh investor meningkat , harga sekuritas obligasi akan menurun dan sebaliknya.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bila diabaikan kemungkinan default, maka harga obligasi akan tergantung pada pengharapan akan tingkat bunga.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008080"/>
          <w:spacing w:val="0"/>
          <w:sz w:val="20"/>
          <w:szCs w:val="20"/>
          <w:bdr w:val="none" w:color="auto" w:sz="0" w:space="0"/>
          <w:shd w:val="clear" w:fill="FFFFFF"/>
        </w:rPr>
        <w:t>04: Penilaian Sekuritas Tidak Berpenghasilan Tetap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A: Konsep Penilaian Sekuritas Tidak Berpenghasilan Tetap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Saham adalah sekuritas yang memberikan penghasilan yang tidak tetap bagi pemiliknya.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Pemilik sekuritas saham akan menerima penghasilan dala bentuk 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"https://manajemenkeuangan.net/dividen-saham-adalah/" \t "https://manajemenkeuangan.net/sekuritas-adalah/_blank" </w:instrTex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sans-serif" w:hAnsi="sans-serif" w:eastAsia="sans-serif" w:cs="sans-serif"/>
          <w:b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t>dividen saham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perubahan harga saham.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Jika harga saham meningkat dari harga beli, maka pemodal dikatakan memperoleh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capital gains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. Bila sebaliknya disebut sebagai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capital loss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contoh perhitungan tingkat keuntungan investasi sekuritas saham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harga saham saat in (P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sebesar Rp 10.000, kemudian diharapkan memberikan dividen Rp 1.000 pada tahun depan.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tahun depan diperkirakan harganya Rp 11.000.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tingkat keuntungan yang diharapkan (r) yang akan diperoleh adalah: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(P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D) :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(11.000 – 10.000 + 1.000) : 10.000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0,20 atau 20%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Persoalan tersebut juga bisa dinyatakan: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11.000 : (1+0,20) + 1.000 : (1+ 0,20)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10.000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Tapi apa yang menentukan harga pada t=1?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Harga pada t = 1 akan dipengaruhi oleh dividen pada t – 2 dan harga pada t = 2 atau secara formal: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maka: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(1+r)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seterusnya.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seseorang bisa memiliki saham untuk waktu n tahun, maka persamaan umumnya menjadi: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2717800" cy="1038225"/>
            <wp:effectExtent l="0" t="0" r="0" b="3175"/>
            <wp:docPr id="3" name="Picture 6" descr="pasar sekuritas ada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pasar sekuritas adalah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penjelasan rumus adalah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Harga saham saat ini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Dividen yang diterima oleh investor pada tahun ke t (t-1, … n)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Harga saham pada tahun ke-n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 = tingkat keuntungan yang dianggap relevan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Meskipun seorang investor bisa memiliki saham selama n tahun, tapi sewaktu saham tersebut dijual, akhirnya periode kepemilikan akan menjadi tidak terhingga.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Sehingga rumus persamaan di atas bisa dituliskan menjadi: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2417445" cy="1307465"/>
            <wp:effectExtent l="0" t="0" r="8255" b="635"/>
            <wp:docPr id="9" name="Picture 7" descr="sekuritas adalah dan conto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sekuritas adalah dan contohny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Dalam rumus persamaan tersebut  n = tak terhingga.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B: Penyederhanaan Konsep Penilaian Sekuritas Tidak Berpenghasilan Tetap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Penilaian sekuritas tidak berpenghasilan tetap dengan menggunakan rumus penentuan harga sekuritas saham tersebut benar, tapi untuk operasionalisasinya akan sangat sulit.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Bagaimana kita bisa memperkirakan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dari tahun ke-1 sampai dengan tahun tidak terhingga?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Semakin jauh dimensi waktu estimasi kita, semakin tidak pasti estimasi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itulah kemudian digunakan berbagai penyederhanaan.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#1: Penyederhanaan pertama: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Penyederhanaan yang pertama adalah dengan menggunakan asumsi-asumsi sebagai berikut: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Keuntungan tidak berubah setiap tahunnya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Semua keuntungan dibagikan sebagai dividen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Berdasarkan asumsi-asumsi tersebut, bisa dirumuskan bahwa harga sekuritas saham saat ini adalah: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E : 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Atau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D : 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#2: Penyederhanaan kedua: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Penyederhanaan yang kedua muncul adalah karena asumsi-asumsi yang disampaikan pada penyederhaan pertama dirasa sangat tidak realistis.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itu, kemudian diasumsikan: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Tidak semua 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"https://manajemenkeuangan.net/laporan-laba-rugi/" \t "https://manajemenkeuangan.net/sekuritas-adalah/_blank" </w:instrTex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default" w:ascii="sans-serif" w:hAnsi="sans-serif" w:eastAsia="sans-serif" w:cs="sans-serif"/>
          <w:b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t>laba</w:t>
      </w:r>
      <w:r>
        <w:rPr>
          <w:rFonts w:hint="default" w:ascii="sans-serif" w:hAnsi="sans-serif" w:eastAsia="sans-serif" w:cs="sans-serif"/>
          <w:i w:val="0"/>
          <w:caps w:val="0"/>
          <w:color w:val="1976D2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dibagi, tapi ada sebagian laba ditahan. Proporsi laba ditahan (=b) diasumsikan konstan.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Laba ditahan dan di-investasikan kembali tersebut bisa menghasilkan tingkat keuntungan, disebut juga Return On Equity (ROE) sebesar R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Sebagai akibat dari asumsi-asumsi tersebut, maka laba per lembar sekuritas saham (=E) dan juga Dividen (=D) meningkat sebesar bR. Peningkatan ini kita beri notasi g. Dengan kata lain g = bR.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menggunakan serangkaian asumsi tersebut maka: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 + r)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(1 + g) : (1 + r)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….. +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(1 + g)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n-1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 + r)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n = tak terhingga.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Maka persamaan tersebut adalah penjumlahan dari suatu deret ukur dengan kelipatan [(1 + g) : (1 + r)] dan n = tak terhingga.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Sehingga jumlahnya adalah sama dengan: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[D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(1 + r)] x [ 1 : [1- [(1 +g) : (1 + r)]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Yang dapat disederhanakan menjadi: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D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 (r-g)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Model ini disebut sebagai </w:t>
      </w:r>
      <w:r>
        <w:rPr>
          <w:rStyle w:val="10"/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Model Pertumbuhan Konstan.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Tentu saja kita bisa menggunakan pertumbuhan yang tidak konstan, yang menyatakan bahwa 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&gt; 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Sebagai contoh: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Misalnya selama 3 tahun pertama pertumbuhan diperkirakan sebesar 20% per tahun (g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), tapi setelah itu hanya tumbuh sebesar 10% per tahun (g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008080"/>
          <w:spacing w:val="0"/>
          <w:sz w:val="20"/>
          <w:szCs w:val="20"/>
          <w:bdr w:val="none" w:color="auto" w:sz="0" w:space="0"/>
          <w:shd w:val="clear" w:fill="FFFFFF"/>
        </w:rPr>
        <w:t>05: Cara Menentukan Tingkat Keuntungan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Dalam penentuan harga sekuritas, baik yang berpenghasilan tetap maupun tidak tetap kita masih menunda penentuan r yang dipandang relevan.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Bagaimana menentukan r (tingkat keuntungan yang disyaratkan)?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Style w:val="10"/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contoh menentukan tingkat keuntungan sekuritas yang disyaratkan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Kalau misalkan kita menggunakan model dengan dua pertumbuhan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t,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kita taksir sebesar Rp 1.000, 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20%, 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10%.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Jika kita gunakan r = 20%, maka harga sekuritas saham saat ini akan ditaksir sebesar: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1.000 / (1+0,2) + 1.200 / (1+ 0,2)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+ 1.400 / (1 + 0,2)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[1.440 / (1 + 0,1)  / (0,2-0,1) x 1 / (1+0.2)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Rp 11.667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tingkat keuntungan yang dianggap layak (diisyaratkan) meningkat (karena dirasa lebih tinggi risikonya), maka harga saham saat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akan menjadi lebih kecil.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Salah satu model yang digunakan untuk menaksir tingkat keuntungan sekuritas yang diisyaratkan adalah model yang disebut sebagai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Capital Asset Pricing Model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(CAPM).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Model CAPM secara tegas menyatakan bahwa ada hubungan yang positif dan linear antara tingkat keuntungan sekuritas yang dipandang layak (r) dengan risiko.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Bagaimana merumuskan risiko dan model tersebut?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Ikuti terus pembahasannya berikut ini…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A: Teori Portofolio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Capital Asset Pricing Model atau CAPM mendasarkan diri atas teori portofolio yang dirumuskan oleh seorang ahli ekonomi Amerika Serikat bernama Markowitz.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Teori portofolio mendasarkan diri pada pengamatan bahwa para investor di bursa melakukan diversifikasi.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kata lain mereka membentuk portofolio. Investor melakukan diversifikasi karena mereka ingin mengurangi risiko.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Apa yang dimaksud dengan risiko?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Risiko dalam teori portofolio didefinisikan sebagai deviasi standar tingkat keuntungan sekuritas.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Hal ini disebabkan karena deviasi standar tingkat keuntungan menunjukkan seberapa jauh kemungkinan nilai yang diperoleh menyimpang dari nilai yang diharapkan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expected value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Semakin besar nilai deviasi standar, maka semakin besar kemungkinan nilai riil menyimpang dari yang diharapkan, yang berarti semakin tinggi risikonya.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nilai yang diharapkan tidak lain adalah rata-rata atau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mean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. Tingkat keuntungan yang diharapkan akan dituliskan dengan notasi E(R).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contoh keputusan investasi sekuritas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Misalkan terdapat dua kesempatan investasi, yaitu A dan B yang mempunyai karakteristik sebagai berikut (R menunjukkan tingkat keuntungan).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924300" cy="922020"/>
            <wp:effectExtent l="0" t="0" r="0" b="5080"/>
            <wp:docPr id="4" name="Picture 9" descr="macam macam ef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macam macam efe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Kalau kita hitung tingkat keuntungan yang diharapkan [E(R)] untuk kedua investasi tersebut, maka kita akan memperoleh angka yang sama.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E(R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A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= 0,2/(0.10) + 0,6(0,20) + 0,6(0,20) + 0,20(0,30) = 0,20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E(R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B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= 0,20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Tetapi jika kita amati penyebaran nilai-nilai tingkat keuntungan terlihat bahwa instasi A mempunyai penyebaran yang lebih besar.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Hal ini terlihat dari distribusi probabilitasnya.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Misalkan kita ditanya: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“berapa probabilitas investasi B akan menghasilkan tingkat keuntungan di bawah 20%?”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Jawabannya adalah 0,10.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untuk A adalah 0,20.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 A lebih berisiko dari B. Ukuran risiko dinyatakan sebagai deviasi standar yang dihitung dengan cara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Untuk A, deviasi standar adalah: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0,063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untuk B = 0,045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menggunakan deviasi standar sebagai pengukur risiko, nampak bahwa risiko B lebih kecil daripada 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Tingkat keuntungan yang diharapkan dari portofolio adalah rata-rata tertimbang dari keuntungan yang diharapkan dari sekuritas-sekuritas yang membentuknya.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bisa dirumuskan sebagai berikut: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E(R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g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= ∑ X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E(R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Dalam hal ini: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E(R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g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adalah tingkat keuntungan yang diharapkan dari portofolio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E(R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adalah tingkat keuntungan yang diharapkan dari sekuritas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proposal dana yang diinvestasikan pada sekuritas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Deviasi standar portofolio, sayangnya bukanlah merupakan rata-rata tertimbang dari deviasi standar sekuritas-sekuritas yang membentuknya.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Ada pengaruh dari koefisien korelasi antara sekuritas.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Deviasi standar portofolio dirumuskan sebagai berikut: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p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∑ X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∑ ∑ X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X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Penjelasan elemen-elemen rumus tersebut adalah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covariance antara i dan j yang bisa juga dirumuskan 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ρ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ρ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j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adalah koefesien karelasi antara i dan j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2i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variance keuntungan sekuritas i (yaitu bentuk kuadrat dari 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bahwa bila koefesien karelasi antar tingkat keuntungan sekuritas makin kecil, maka diverfsifikasi akan makin efektif menurunkan risiko portofolio.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Rumus persamaan deviasi standar di atas lebih mudah dipahami bila dinyatakan dalam matriks sebagai berikut: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4306570" cy="1083945"/>
            <wp:effectExtent l="0" t="0" r="11430" b="8255"/>
            <wp:docPr id="5" name="Picture 10" descr="contoh sekur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contoh sekurita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t>Gambar: Cara mencari variance portofolio.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Untuk mencari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 yang terdiri dari N saham, kita harus menjumlahkan sel-sel yang ada dalam matriks di atas.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Penjelasan tabel di atas adalah sebagai berikut: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Sel yang menunjukkan perpotongan antara saham 1 dengan saham 1, isinya adalah 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Sel yang menunjukkan perpotongan antara saham 1 dengan saham 2 isinya adalah 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23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Sel yang menunjukkan perpotongan antara saham 1 dengan saham 3 isinya adalah 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X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3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13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620" w:right="0" w:hanging="360"/>
        <w:rPr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Demikian seterusnya.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Jika kita membentuk portofolio yang terdiri dari 3 sekuritas saham, maka kita hanya perlu menjumlahkan 9 sel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Kalau empat saham berarti 16 sel dan seterusnya.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bahwa sel-sel yang berada dalam posisi diagonal menunjukkan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sekuritas saham-saham yang membentuk portofolio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Tabel di atas juga menunjukkan ilustrasi yang menarik.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penjelasannya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Misalnya kita mempunyai portofolio yang terdiri dari N saham dan proporsi dana yang di-investasikan sama setiap sekuritas sahamnya, yaitu 1/N.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pada setiap sel variance akan terdapat (1/N)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dikalikan dengan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-nya.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Pada sel-sel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kita akan mempunyai (1/N)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dikalikan dengan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-nya.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ada N sel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 dan N2-N sel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, maka: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portofolio: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N(1/N)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x Rata-rata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(N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-N)(1/N)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x Rata-rata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1/N x rata-rata variance + [1-(1/N)] x rata-rata covariance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bahwa bila jumlah N menjadi makin besar, bagian pertama dari persamaan tersebut akan mendaekati NOL.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v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 akan mendekati rata-rata covariance.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kata lain bahwa meskipun kita membentuk portofolio yang terdiri jumlah sekuritas saham yang makin besar.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Maka akan selalu ada sebagian risiko yang bisa di-HILANGKAN dengan diversifikasi.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Kontribusi terhadap risiko portofolio yang disebabkan oleh covariance sekuritas saham-saham yang membentuk portofolio tersebut tidak bisa dihilangkan dengan diversifikasi.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Secara sistematis keadaan tersebut bisa ditunjukkan pada gambar berikut ini: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4914900" cy="2962275"/>
            <wp:effectExtent l="0" t="0" r="0" b="9525"/>
            <wp:docPr id="13" name="Picture 11" descr="aplikasi sekuritas terba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aplikasi sekuritas terbaik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t>Gambar: Pengaruh penambahan jumlah saham pada risiko portofolio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Bagian risiko yang tidak bisa dihilangkan dengan diversifikasi disebut sebagai risiko sistematis.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yang bisa dihilangkan dengan diversifikasi disebut sebagai risiko tidak sistematis.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Penjumlahan kedua jenis risiko tersebut disebut sebagai risiko total.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portofolio tersebut mencapai jumlah sekuritas adalah yang sangat besar yang mewakili seluruh pasar sekuritas, dan karenanya disebut sebagai portofolio pasar.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portofolio tersebutkita beri notasi M, maka sumbangan risiko saham i terhadap portofolio M adalah 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ukuran ini kita standarisir dengan membaginya dengan variance portofolio pasar, maka rasio ini disebut sebagai beta (=β).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β = 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/σ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Apabila para investor melakukan diversifikasi dalam investasi sekuritas, maka risiko yang relevan bagi mereka adalah deviasi standar portofolio.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Teori portofolio menunjukkan bahwa deviasi standar akan tergantung sebagian besar pada covariance antar sekuritas yang membentuk portofolio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Jika covariance tersebut distandardisir, maka diperoleh parameter yang disebut sebagai beta.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itulah risiko portofolio sekuritas yang didiversifikasikan dengan baik akan tergantung pada beta sekuritas saham-saham yang membentuknya.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B: Capital Asset Pricing Model (CAPM) untuk Menilai Sekuritas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β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 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 definisi, sama dengan 1. Hal ini kita peroleh karena: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β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 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/σ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2M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beta dari investasi yang bebas risiko (=f) akan sama dengan nol.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Hal ini disebabkan karena deviasi standar tingkat keuntungan investasi yang bebas risiko sama dengan nol.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Atau σ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f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0.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maka: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β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 0 /σ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2M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0.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Kalau kedua kesempatan investasi tersebut, yaitu f (investasi yang bebas risiko) dan M (portofolio pasar).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Kita gambarkan dalam diagram yang sumbu tegaknya tingkat keuntungan sekuritas (R) dan sumbu datar beta (β).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Maka kita akan memperoleh gambar sebagaimana ditunjukkan pada gambar berikut ini: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4762500" cy="2724150"/>
            <wp:effectExtent l="0" t="0" r="0" b="6350"/>
            <wp:docPr id="12" name="Picture 12" descr="efek ada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fek adalah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t>Gambar: Hubungan antara beta (risiko) dengan tingkat keuntungan yang dinyatakan sebagai security market line.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Gambar tersebut menunjukkan bahwa risiko sekarang dinyatakan sebagai beta.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Dan mempunyai hubungan yang positif serta linear dengan tingkat keuntungan sekuritas.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Garis yang menghubungkan β dengan R disebut sebagai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Security Market Line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(SML).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Beta digunakan sebagai pengukur risiko.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dalam pembentukan portofolio, risiko suatu sekuritas adalah tidak ditentukan oleh deviasi standarnya, tapi oleh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-nya dengan portofolio.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ini dibagi dengan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variance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 pasar, maka diperoleh beta.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Penggunaan beta juga dijelaskan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sebagian risiko bisa dihilangkan dengan diversifikasi, dan investor bersifat tidak menyukai risiko, maka mereka tentunya akan melakukan diversifikasi.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Bagian risiko yang hilang, karena diversifikasi menjadi tidak relevan dalam pengukuran risiko.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Hanya risiko yang tidak bisa hilanglah yang relevan.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Risiko ini disebut sebagai risiko sistematis atau beta.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SML bisa dirumuskan sebagai berikut: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Perpotongan dengan sumbu tegak (intercept) adalah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t.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 kemiringan SML adalah: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: 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Atau bisa dituliskan: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maka persamaan SML adalah: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+ [R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β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Persamaan ini juga dapat dituliskan menjadi: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[R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+ [R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β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Persamaan inilah yang kita kenal sebagai </w:t>
      </w:r>
      <w:r>
        <w:rPr>
          <w:rStyle w:val="10"/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standard CAPM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melihat pada persamaan CAPM di atas kita bisa menggambarkan beta sebagai kemiringan antara sumbu 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dan 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Sebagaimana ditunjukkan pada gambar berikut ini: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0"/>
          <w:szCs w:val="20"/>
        </w:rPr>
      </w:pP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drawing>
          <wp:inline distT="0" distB="0" distL="114300" distR="114300">
            <wp:extent cx="4905375" cy="3209925"/>
            <wp:effectExtent l="0" t="0" r="9525" b="3175"/>
            <wp:docPr id="14" name="Picture 13" descr="sekuritas adalah dan conto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sekuritas adalah dan contohny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kern w:val="0"/>
          <w:sz w:val="20"/>
          <w:szCs w:val="20"/>
          <w:lang w:val="en-US" w:eastAsia="zh-CN" w:bidi="ar"/>
        </w:rPr>
        <w:t>Gambar: Beta menunjukkan kepekaan excess return sekuritas i terhadap excess return portofolio pasar.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Ditunjukkan pada gambar di atas 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disebut sebagai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sekuritas 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Artinya kelebihan tingkat keuntungan sekuritas adalah i di atas tingkat keuntungan bebas risiko.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Sedangkan  [R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–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] disebut sebagai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 pasar.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  β &gt; 1, maka perubahan 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  pasar sebesar 10% akan mengakibatkan perubahan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sekuritas adalah i lebih besar dari 10%.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 semakin besar β semakin peka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suatu sekuritas terhadap perubahan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excess return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portofolio pasar, dan karenanya diartikan makin berisiko.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Apa yang mempengaruhi besar kecilnya β?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Salah satu faktor yang mempengaruhi besarnya beta adalah faktor siklikalitas (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cyclicality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Siklikalitas adalah menunjukkan seberapa jauh suatu perusahaan terpengaruh oleh kondisi perekonomian pada umumnya.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Secara umum semua perusahaan terpengaruh oleh kondisi perekonomian.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Pada saat kondisi perekonomian membaik, semua perusahaan akan terkena dampak positifnya.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Demikian pula sebaliknya, yang menjadi masalah adalah intensitas dampak tersebut.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Ada perusahaan yang sangat sensitif terhadap kondisi perekonomian atau faktor-faktor makro, tapi ada pula yang tidak terlalu terpengaruh.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Industri otomotif, real estate, adalah contoh industri yang sangat terpengaruh oleh kondisi perekonomian.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Industri semacam ini akan cenderung mempunyai beta usaha yang tinggi.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Sebaliknya, industri penghasil bahan-bahan kebutuhan pokok tidak begitu terpengaruh oleh kondisi perekonomian.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Industri semacam ini mungkin sekali mempunyai beta yang rendah.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40" w:lineRule="auto"/>
        <w:ind w:left="0" w:right="0" w:firstLine="0"/>
        <w:jc w:val="center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008080"/>
          <w:spacing w:val="0"/>
          <w:sz w:val="20"/>
          <w:szCs w:val="20"/>
          <w:bdr w:val="none" w:color="auto" w:sz="0" w:space="0"/>
          <w:shd w:val="clear" w:fill="FFFFFF"/>
        </w:rPr>
        <w:t>06: Penggunaan CAPM untuk Menaksir Harga Sekuritas Saham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CAPM berguna untuk menaksir tingkat keuntungan yang layak bagi suatu sekuritas saham.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 contoh perhitungan investasi sekuritas saham dengan CAPM berikut ini: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sekuritas saham (saham i) diperkirakan mempunyai , beta = 1,2 dan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M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diharapkan sebesar 20%.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Maka kita tahu bahwa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 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tentu lebih besar dari 20%, karena beta-nya lebih besar dari 1.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Untuk menaksir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kita perlu mengetahui 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, misalkan = 12%.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240" w:lineRule="auto"/>
        <w:ind w:left="0" w:right="0" w:firstLine="0"/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Dengan demikian maka R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i </w:t>
      </w:r>
      <w:r>
        <w:rPr>
          <w:rFonts w:hint="default" w:ascii="sans-serif" w:hAnsi="sans-serif" w:eastAsia="sans-serif" w:cs="sans-serif"/>
          <w:b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12% + (20% – 12%) 1,2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12% + 9,8%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21,6%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Bila diperkirakan bahwa D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= Rp 1.000 dan kita menggunakan </w:t>
      </w:r>
      <w:r>
        <w:rPr>
          <w:rStyle w:val="8"/>
          <w:rFonts w:hint="default" w:ascii="sans-serif" w:hAnsi="sans-serif" w:eastAsia="sans-serif" w:cs="sans-serif"/>
          <w:i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constant growth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mulai dengan g = 16,6% maka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1.000/(0,216 – 0,166)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= Rp 20.000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Perhatikan, bila para investor berpendapat bahwa risiko perusahaan meningkat, maka R juga akan meningkat, dan sebagai akibatnya P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0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 akan turun.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Hal yang sama berlaku bila diperkirakan suku bunga (R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  <w:vertAlign w:val="baseline"/>
        </w:rPr>
        <w:t>t</w:t>
      </w: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) akan meningkat.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</w:rPr>
      </w:pPr>
      <w:r>
        <w:rPr>
          <w:rFonts w:hint="default" w:ascii="sans-serif" w:hAnsi="sans-serif" w:eastAsia="sans-serif" w:cs="sans-serif"/>
          <w:i w:val="0"/>
          <w:caps w:val="0"/>
          <w:color w:val="212121"/>
          <w:spacing w:val="0"/>
          <w:sz w:val="20"/>
          <w:szCs w:val="20"/>
          <w:bdr w:val="none" w:color="auto" w:sz="0" w:space="0"/>
          <w:shd w:val="clear" w:fill="FFFFFF"/>
        </w:rPr>
        <w:t>Karena itulah kita dapat memahami sekarang mengapa kalau suku bunga diperkirakan akan naik, harga saham akan TURUN.</w:t>
      </w:r>
    </w:p>
    <w:p>
      <w:pPr>
        <w:spacing w:line="240" w:lineRule="auto"/>
        <w:rPr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66C5D"/>
    <w:multiLevelType w:val="multilevel"/>
    <w:tmpl w:val="8E366C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5B72758"/>
    <w:multiLevelType w:val="multilevel"/>
    <w:tmpl w:val="B5B727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16D2C4C"/>
    <w:multiLevelType w:val="multilevel"/>
    <w:tmpl w:val="D16D2C4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F6683C1D"/>
    <w:multiLevelType w:val="multilevel"/>
    <w:tmpl w:val="F6683C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2959A34E"/>
    <w:multiLevelType w:val="multilevel"/>
    <w:tmpl w:val="2959A3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7ABCA865"/>
    <w:multiLevelType w:val="multilevel"/>
    <w:tmpl w:val="7ABCA8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36676"/>
    <w:rsid w:val="4FD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  <w:i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2019-12-15T13:27:00Z</dcterms:created>
  <dc:creator>google1572102840</dc:creator>
  <cp:lastModifiedBy>google1572102840</cp:lastModifiedBy>
  <dcterms:modified xsi:type="dcterms:W3CDTF">2019-12-15T13:54:23Z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