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19" w:rsidRPr="00090019" w:rsidRDefault="00090019" w:rsidP="00090019">
      <w:pPr>
        <w:shd w:val="clear" w:color="auto" w:fill="FFFFFF"/>
        <w:spacing w:after="0" w:line="240" w:lineRule="atLeast"/>
        <w:jc w:val="both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>Kurs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>Nilai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>Tukar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bdr w:val="none" w:sz="0" w:space="0" w:color="auto" w:frame="1"/>
        </w:rPr>
        <w:t xml:space="preserve"> )</w:t>
      </w:r>
      <w:bookmarkStart w:id="0" w:name="_GoBack"/>
      <w:bookmarkEnd w:id="0"/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Nilai</w: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hyperlink r:id="rId5" w:tgtFrame="_blank" w:history="1">
        <w:r w:rsidRPr="00090019">
          <w:rPr>
            <w:rFonts w:ascii="Times New Roman" w:eastAsia="Times New Roman" w:hAnsi="Times New Roman" w:cs="Times New Roman"/>
            <w:color w:val="FF6600"/>
            <w:sz w:val="30"/>
            <w:szCs w:val="30"/>
            <w:u w:val="single"/>
            <w:bdr w:val="none" w:sz="0" w:space="0" w:color="auto" w:frame="1"/>
          </w:rPr>
          <w:t>tukar</w:t>
        </w:r>
        <w:proofErr w:type="spellEnd"/>
      </w:hyperlink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sering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kurs</w: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unit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domestik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juga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dikatakan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domestik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contoh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(NT)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Dolar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Amerika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(USD)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dolar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Amerika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(USD)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(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),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juga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sebaliknya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diartikan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USD.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didefinisikan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valuta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diformulasikan</w:t>
      </w:r>
      <w:proofErr w:type="spellEnd"/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berikut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:</w:t>
      </w:r>
    </w:p>
    <w:p w:rsidR="00090019" w:rsidRPr="00090019" w:rsidRDefault="00090019" w:rsidP="0009001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IDR/USD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 =Rupiah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diperlukan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membeli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1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dolar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Amerika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(USD</w:t>
      </w:r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)</w:t>
      </w:r>
      <w:proofErr w:type="gramEnd"/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IDR/YEN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 = Rupiah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diperlukan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membeli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Yen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Jepang</w:t>
      </w:r>
      <w:proofErr w:type="spellEnd"/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nilai</w: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meningkat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berarti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u w:val="single"/>
          <w:bdr w:val="none" w:sz="0" w:space="0" w:color="auto" w:frame="1"/>
        </w:rPr>
        <w:t>depresiasi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sedangkan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menurun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u w:val="single"/>
          <w:bdr w:val="none" w:sz="0" w:space="0" w:color="auto" w:frame="1"/>
        </w:rPr>
        <w:t>apresiasi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Sementara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menerapkan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sistem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tetap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perubahan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dilakukan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secara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resmi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oleh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pemerintah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Kebijakan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secara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resmi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menaikkan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u w:val="single"/>
          <w:bdr w:val="none" w:sz="0" w:space="0" w:color="auto" w:frame="1"/>
        </w:rPr>
        <w:t>revaluasi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sementara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kebijakan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menurunkan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r w:rsidRPr="0009001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u w:val="single"/>
          <w:bdr w:val="none" w:sz="0" w:space="0" w:color="auto" w:frame="1"/>
        </w:rPr>
        <w:t>devaluasi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hyperlink r:id="rId6" w:tgtFrame="_blank" w:history="1">
        <w:r w:rsidRPr="00090019">
          <w:rPr>
            <w:rFonts w:ascii="Times New Roman" w:eastAsia="Times New Roman" w:hAnsi="Times New Roman" w:cs="Times New Roman"/>
            <w:color w:val="FF6600"/>
            <w:sz w:val="30"/>
            <w:szCs w:val="30"/>
            <w:u w:val="single"/>
            <w:bdr w:val="none" w:sz="0" w:space="0" w:color="auto" w:frame="1"/>
          </w:rPr>
          <w:t>SEJARAH SISTEM STANDAR MONETER INTERNASIONAL I</w:t>
        </w:r>
      </w:hyperlink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memberikan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gambaran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lebih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jelas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mengenai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pengertian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diberikan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contoh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berikut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Misalnya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dolar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Amerika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(USD)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sebesar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Rp8.500.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USD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berubah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menjadi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Rp9.000,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penurunan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Sebaliknya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1 USD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berubah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menjadi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sebesar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Rp8.000,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peningkatan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</w:p>
    <w:p w:rsidR="00090019" w:rsidRPr="00090019" w:rsidRDefault="00090019" w:rsidP="0009001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didefinisikan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valuta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</w:t>
      </w:r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USD/IDR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 =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dolar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Amerika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diperlukan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membeli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</w:t>
      </w:r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YEN/IDR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 = Yen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diperlukan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membeli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</w:t>
      </w:r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menggunakan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konsep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meningkat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sistem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mengambang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bebas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revaluasi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sistem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tetap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sedangkan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apabila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menurun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sistem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mengambang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bebas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devaluasi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sistem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tetap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contoh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pengertian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sebesar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1/8.500 USD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0</w:t>
      </w:r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,00012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USD.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rupiah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lastRenderedPageBreak/>
        <w:t>depresiasi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jika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menurun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contoh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sebesar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1/9000 USD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0</w:t>
      </w:r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,00011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mengalami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apresiasi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pada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contoh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1/8.000 USD = 0,00013 USD.</w:t>
      </w:r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hyperlink r:id="rId7" w:tgtFrame="_blank" w:history="1"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MENANGKAP TREND JANGKA PENDEK</w:t>
        </w:r>
      </w:hyperlink>
    </w:p>
    <w:p w:rsidR="00090019" w:rsidRPr="00090019" w:rsidRDefault="00090019" w:rsidP="00090019">
      <w:pPr>
        <w:shd w:val="clear" w:color="auto" w:fill="FFFFFF"/>
        <w:spacing w:after="0" w:line="240" w:lineRule="atLeast"/>
        <w:jc w:val="both"/>
        <w:outlineLvl w:val="1"/>
        <w:rPr>
          <w:rFonts w:ascii="Helvetica" w:eastAsia="Times New Roman" w:hAnsi="Helvetica" w:cs="Times New Roman"/>
          <w:color w:val="333333"/>
          <w:sz w:val="45"/>
          <w:szCs w:val="45"/>
        </w:rPr>
      </w:pP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 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kita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kenal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pengertian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sehari-hari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sebagaimana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diuraikan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pengertian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nominal (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nominal).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menganalisis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kita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juga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mengenal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apa</w:t>
      </w:r>
      <w:proofErr w:type="spellEnd"/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.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nominal yang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sudah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dikoreksi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relatif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yaitu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harga-hargadidalam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negeri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dibanding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harga-harga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luar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negeri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dihitung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menggunakan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rumus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sederhana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berikut</w:t>
      </w:r>
      <w:proofErr w:type="spellEnd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:</w:t>
      </w:r>
      <w:proofErr w:type="gramEnd"/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Q = S P/P*</w:t>
      </w:r>
      <w:r w:rsidRPr="00090019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dimana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Q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, </w:t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S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nominal, </w:t>
      </w:r>
      <w:r w:rsidRPr="000900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P</w: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tingkat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negeri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P*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adalah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tingkat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harga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luar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negeri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. </w:t>
      </w:r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Formula di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digunakan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untuk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menghitung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bilateral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dua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transaksi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perdagangan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internasional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tidak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hanya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melakukan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transaksi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pada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tetapi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juga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beberapa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demikian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pengukuran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mitra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dagangnya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perlu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juga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disesuaikan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memperhitungkan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laju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inflasi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dari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masing-masing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Pengukuran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rata-rata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riil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terhadap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seluruh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sejumlah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asing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efektif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hyperlink r:id="rId8" w:tgtFrame="_blank" w:history="1">
        <w:proofErr w:type="spellStart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Mengenal</w:t>
        </w:r>
        <w:proofErr w:type="spellEnd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Lebih</w:t>
        </w:r>
        <w:proofErr w:type="spellEnd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Dekat</w:t>
        </w:r>
        <w:proofErr w:type="spellEnd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Tiga</w:t>
        </w:r>
        <w:proofErr w:type="spellEnd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>Jenis</w:t>
        </w:r>
        <w:proofErr w:type="spellEnd"/>
        <w:r w:rsidRPr="00090019">
          <w:rPr>
            <w:rFonts w:ascii="Arial" w:eastAsia="Times New Roman" w:hAnsi="Arial" w:cs="Arial"/>
            <w:color w:val="FF6600"/>
            <w:sz w:val="20"/>
            <w:szCs w:val="20"/>
            <w:u w:val="single"/>
            <w:bdr w:val="none" w:sz="0" w:space="0" w:color="auto" w:frame="1"/>
          </w:rPr>
          <w:t xml:space="preserve"> Drawdown</w:t>
        </w:r>
      </w:hyperlink>
    </w:p>
    <w:p w:rsidR="00090019" w:rsidRPr="00090019" w:rsidRDefault="00090019" w:rsidP="0009001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Sebagai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angka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rata-rata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biasanya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dalam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menghitung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fldChar w:fldCharType="begin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instrText xml:space="preserve"> HYPERLINK "https://www.inforexnews.com/" \t "_blank" </w:instrText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fldChar w:fldCharType="separate"/>
      </w:r>
      <w:r w:rsidRPr="00090019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444444"/>
          <w:sz w:val="30"/>
          <w:szCs w:val="30"/>
          <w:bdr w:val="none" w:sz="0" w:space="0" w:color="auto" w:frame="1"/>
        </w:rPr>
        <w:t> 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fldChar w:fldCharType="end"/>
      </w:r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efektif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dipergunakan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bobot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atas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mata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uang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tertentu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.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Bobot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tersebut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,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misalnya</w:t>
      </w:r>
      <w:proofErr w:type="spellEnd"/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berupa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pangsa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perdagangan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suatu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lain.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Nilai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tukar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efektif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ini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dapat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dihitung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antara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gram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lain</w:t>
      </w:r>
      <w:proofErr w:type="gram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(bilateral)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atau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satu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dengan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beberapa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>negara</w:t>
      </w:r>
      <w:proofErr w:type="spellEnd"/>
      <w:r w:rsidRPr="00090019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</w:rPr>
        <w:t xml:space="preserve"> (multilateral).</w:t>
      </w:r>
    </w:p>
    <w:p w:rsidR="000C1E2F" w:rsidRDefault="000C1E2F"/>
    <w:sectPr w:rsidR="000C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19"/>
    <w:rsid w:val="00090019"/>
    <w:rsid w:val="000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exnews.com/strategi-trading-forex/Mengenal%20Lebih%20Dekat%20Tiga%20Jenis%20Drawdow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exnews.com/strategi-trading-forex/MENANGKAP%20TREND%20JANGKA%20PEND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forexnews.com/strategi-trading-forex/SEJARAH%20SISTEM%20STANDAR%20MONETER%20INTERNASIONAL%20I" TargetMode="External"/><Relationship Id="rId5" Type="http://schemas.openxmlformats.org/officeDocument/2006/relationships/hyperlink" Target="https://www.inforexnew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D4N9K3L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ALVARIZI</dc:creator>
  <cp:keywords/>
  <dc:description/>
  <cp:lastModifiedBy>ALVARIZI</cp:lastModifiedBy>
  <cp:revision>1</cp:revision>
  <dcterms:created xsi:type="dcterms:W3CDTF">2018-10-08T15:05:00Z</dcterms:created>
  <dcterms:modified xsi:type="dcterms:W3CDTF">2018-10-08T15:07:00Z</dcterms:modified>
</cp:coreProperties>
</file>